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color w:val="auto"/>
          <w:sz w:val="28"/>
          <w:szCs w:val="28"/>
        </w:rPr>
        <w:id w:val="478353570"/>
        <w:docPartObj>
          <w:docPartGallery w:val="Cover Pages"/>
          <w:docPartUnique/>
        </w:docPartObj>
      </w:sdtPr>
      <w:sdtEndPr>
        <w:rPr>
          <w:b/>
        </w:rPr>
      </w:sdtEndPr>
      <w:sdtContent>
        <w:p w:rsidR="00355E3F" w:rsidRPr="00347E31" w:rsidRDefault="00355E3F" w:rsidP="00C34945">
          <w:pPr>
            <w:pStyle w:val="Default"/>
            <w:spacing w:line="360" w:lineRule="auto"/>
            <w:jc w:val="center"/>
            <w:rPr>
              <w:b/>
              <w:sz w:val="28"/>
              <w:szCs w:val="28"/>
            </w:rPr>
          </w:pPr>
          <w:r w:rsidRPr="00347E31">
            <w:rPr>
              <w:b/>
              <w:sz w:val="28"/>
              <w:szCs w:val="28"/>
            </w:rPr>
            <w:t>ФЕДЕРАЛЬНОЕ ГОСУДАРСТВЕННОЕ АВТОНОМНОЕ ОБРАЗОВАТЕЛЬНОЕ</w:t>
          </w:r>
        </w:p>
        <w:p w:rsidR="00355E3F" w:rsidRPr="00347E31" w:rsidRDefault="00355E3F" w:rsidP="00C34945">
          <w:pPr>
            <w:pStyle w:val="Default"/>
            <w:spacing w:line="360" w:lineRule="auto"/>
            <w:jc w:val="center"/>
            <w:rPr>
              <w:b/>
              <w:sz w:val="28"/>
              <w:szCs w:val="28"/>
            </w:rPr>
          </w:pPr>
          <w:r w:rsidRPr="00347E31">
            <w:rPr>
              <w:b/>
              <w:sz w:val="28"/>
              <w:szCs w:val="28"/>
            </w:rPr>
            <w:t>УЧРЕЖДЕНИЕ ВЫСШЕГО ОБРАЗОВАНИЯ ПЕРВЫЙ МОСКОВСКИЙ ГОСУДАРСТВЕННЫЙ МЕДИЦИНСКИЙ УНИВЕРСИТЕТ ИМЕНИ</w:t>
          </w:r>
        </w:p>
        <w:p w:rsidR="00355E3F" w:rsidRPr="00347E31" w:rsidRDefault="00355E3F" w:rsidP="00C34945">
          <w:pPr>
            <w:pStyle w:val="Default"/>
            <w:spacing w:line="360" w:lineRule="auto"/>
            <w:jc w:val="center"/>
            <w:rPr>
              <w:b/>
              <w:sz w:val="28"/>
              <w:szCs w:val="28"/>
            </w:rPr>
          </w:pPr>
          <w:r w:rsidRPr="00347E31">
            <w:rPr>
              <w:b/>
              <w:sz w:val="28"/>
              <w:szCs w:val="28"/>
            </w:rPr>
            <w:t>И.М. СЕЧЕНОВА МИНИСТЕРСТВА ЗДРАВООХРАНЕНИЯ</w:t>
          </w:r>
        </w:p>
        <w:p w:rsidR="00355E3F" w:rsidRPr="00347E31" w:rsidRDefault="00355E3F" w:rsidP="00C34945">
          <w:pPr>
            <w:widowControl w:val="0"/>
            <w:autoSpaceDE w:val="0"/>
            <w:autoSpaceDN w:val="0"/>
            <w:spacing w:before="7" w:after="0" w:line="360" w:lineRule="auto"/>
            <w:jc w:val="center"/>
            <w:rPr>
              <w:rFonts w:ascii="Times New Roman" w:eastAsia="Times New Roman" w:hAnsi="Times New Roman" w:cs="Times New Roman"/>
              <w:b/>
              <w:sz w:val="28"/>
              <w:szCs w:val="28"/>
            </w:rPr>
          </w:pPr>
          <w:r w:rsidRPr="00347E31">
            <w:rPr>
              <w:rFonts w:ascii="Times New Roman" w:hAnsi="Times New Roman" w:cs="Times New Roman"/>
              <w:b/>
              <w:sz w:val="28"/>
              <w:szCs w:val="28"/>
            </w:rPr>
            <w:t>РОССИЙСКОЙ ФЕДЕРАЦИИ (СЕЧЕНОВСКИЙ УНИВЕРСИТЕТ)</w:t>
          </w:r>
        </w:p>
        <w:p w:rsidR="00355E3F" w:rsidRPr="00FA68D7" w:rsidRDefault="00355E3F" w:rsidP="005146FA">
          <w:pPr>
            <w:widowControl w:val="0"/>
            <w:autoSpaceDE w:val="0"/>
            <w:autoSpaceDN w:val="0"/>
            <w:spacing w:after="0" w:line="360" w:lineRule="auto"/>
            <w:jc w:val="both"/>
            <w:rPr>
              <w:rFonts w:ascii="Times New Roman" w:eastAsia="Times New Roman" w:hAnsi="Times New Roman" w:cs="Times New Roman"/>
              <w:i/>
              <w:sz w:val="28"/>
              <w:szCs w:val="28"/>
            </w:rPr>
          </w:pPr>
        </w:p>
        <w:p w:rsidR="00355E3F" w:rsidRPr="00FA68D7" w:rsidRDefault="00361CEB" w:rsidP="00C34945">
          <w:pPr>
            <w:widowControl w:val="0"/>
            <w:autoSpaceDE w:val="0"/>
            <w:autoSpaceDN w:val="0"/>
            <w:spacing w:after="0" w:line="360" w:lineRule="auto"/>
            <w:jc w:val="center"/>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Чувалов Леонид Леонидович</w:t>
          </w:r>
        </w:p>
        <w:p w:rsidR="00355E3F" w:rsidRPr="00FA68D7" w:rsidRDefault="00355E3F" w:rsidP="005146FA">
          <w:pPr>
            <w:widowControl w:val="0"/>
            <w:autoSpaceDE w:val="0"/>
            <w:autoSpaceDN w:val="0"/>
            <w:spacing w:after="0" w:line="360" w:lineRule="auto"/>
            <w:jc w:val="both"/>
            <w:rPr>
              <w:rFonts w:ascii="Times New Roman" w:eastAsia="Times New Roman" w:hAnsi="Times New Roman" w:cs="Times New Roman"/>
              <w:sz w:val="28"/>
              <w:szCs w:val="28"/>
            </w:rPr>
          </w:pPr>
        </w:p>
        <w:p w:rsidR="00355E3F" w:rsidRPr="00FA68D7" w:rsidRDefault="00361CEB" w:rsidP="00C34945">
          <w:pPr>
            <w:widowControl w:val="0"/>
            <w:autoSpaceDE w:val="0"/>
            <w:autoSpaceDN w:val="0"/>
            <w:spacing w:before="11" w:after="0" w:line="360" w:lineRule="auto"/>
            <w:jc w:val="center"/>
            <w:rPr>
              <w:rFonts w:ascii="Times New Roman" w:eastAsia="Times New Roman" w:hAnsi="Times New Roman" w:cs="Times New Roman"/>
              <w:b/>
              <w:color w:val="000000"/>
              <w:sz w:val="28"/>
              <w:szCs w:val="28"/>
              <w:lang w:eastAsia="ru-RU"/>
            </w:rPr>
          </w:pPr>
          <w:r w:rsidRPr="00FA68D7">
            <w:rPr>
              <w:rFonts w:ascii="Times New Roman" w:eastAsia="Times New Roman" w:hAnsi="Times New Roman" w:cs="Times New Roman"/>
              <w:b/>
              <w:color w:val="000000"/>
              <w:sz w:val="28"/>
              <w:szCs w:val="28"/>
              <w:lang w:eastAsia="ru-RU"/>
            </w:rPr>
            <w:t>Оценка эффективности и безопасности радиоволновой электротерапии с радиочастотой 448 кГц в лечении пациентов с органической эректильной дисфункцией</w:t>
          </w:r>
        </w:p>
        <w:p w:rsidR="00361CEB" w:rsidRPr="00FA68D7" w:rsidRDefault="00361CEB" w:rsidP="00C34945">
          <w:pPr>
            <w:widowControl w:val="0"/>
            <w:autoSpaceDE w:val="0"/>
            <w:autoSpaceDN w:val="0"/>
            <w:spacing w:before="11" w:after="0" w:line="360" w:lineRule="auto"/>
            <w:jc w:val="center"/>
            <w:rPr>
              <w:rFonts w:ascii="Times New Roman" w:eastAsia="Times New Roman" w:hAnsi="Times New Roman" w:cs="Times New Roman"/>
              <w:b/>
              <w:sz w:val="28"/>
              <w:szCs w:val="28"/>
            </w:rPr>
          </w:pPr>
        </w:p>
        <w:p w:rsidR="00361CEB" w:rsidRPr="00FA68D7" w:rsidRDefault="00361CEB" w:rsidP="00C34945">
          <w:pPr>
            <w:spacing w:line="360" w:lineRule="auto"/>
            <w:jc w:val="center"/>
            <w:rPr>
              <w:b/>
              <w:bCs/>
              <w:color w:val="000000"/>
              <w:sz w:val="28"/>
              <w:szCs w:val="28"/>
            </w:rPr>
          </w:pPr>
          <w:r w:rsidRPr="00FA68D7">
            <w:rPr>
              <w:rFonts w:ascii="Times New Roman" w:eastAsia="Times New Roman" w:hAnsi="Times New Roman" w:cs="Times New Roman"/>
              <w:b/>
              <w:bCs/>
              <w:color w:val="000000"/>
              <w:sz w:val="28"/>
              <w:szCs w:val="28"/>
              <w:lang w:eastAsia="ru-RU"/>
            </w:rPr>
            <w:t>3.1.13.</w:t>
          </w:r>
          <w:r w:rsidRPr="00FA68D7">
            <w:rPr>
              <w:b/>
              <w:bCs/>
              <w:color w:val="000000"/>
              <w:sz w:val="28"/>
              <w:szCs w:val="28"/>
            </w:rPr>
            <w:t xml:space="preserve"> </w:t>
          </w:r>
          <w:r w:rsidRPr="00FA68D7">
            <w:rPr>
              <w:rFonts w:ascii="Times New Roman" w:eastAsia="Times New Roman" w:hAnsi="Times New Roman" w:cs="Times New Roman"/>
              <w:b/>
              <w:bCs/>
              <w:color w:val="000000"/>
              <w:sz w:val="28"/>
              <w:szCs w:val="28"/>
              <w:lang w:eastAsia="ru-RU"/>
            </w:rPr>
            <w:t>Урология и андрология (14.01.23 – Урология)</w:t>
          </w:r>
        </w:p>
        <w:p w:rsidR="00355E3F" w:rsidRDefault="00355E3F" w:rsidP="005146FA">
          <w:pPr>
            <w:widowControl w:val="0"/>
            <w:autoSpaceDE w:val="0"/>
            <w:autoSpaceDN w:val="0"/>
            <w:spacing w:before="10" w:after="0" w:line="360" w:lineRule="auto"/>
            <w:jc w:val="both"/>
            <w:rPr>
              <w:rFonts w:ascii="Times New Roman" w:eastAsia="Times New Roman" w:hAnsi="Times New Roman" w:cs="Times New Roman"/>
              <w:sz w:val="28"/>
              <w:szCs w:val="28"/>
            </w:rPr>
          </w:pPr>
        </w:p>
        <w:p w:rsidR="002E2DFF" w:rsidRPr="00FA68D7" w:rsidRDefault="002E2DFF" w:rsidP="005146FA">
          <w:pPr>
            <w:widowControl w:val="0"/>
            <w:autoSpaceDE w:val="0"/>
            <w:autoSpaceDN w:val="0"/>
            <w:spacing w:before="10" w:after="0" w:line="360" w:lineRule="auto"/>
            <w:jc w:val="both"/>
            <w:rPr>
              <w:rFonts w:ascii="Times New Roman" w:eastAsia="Times New Roman" w:hAnsi="Times New Roman" w:cs="Times New Roman"/>
              <w:sz w:val="28"/>
              <w:szCs w:val="28"/>
            </w:rPr>
          </w:pPr>
        </w:p>
        <w:p w:rsidR="00755DFF" w:rsidRDefault="00355E3F" w:rsidP="00C34945">
          <w:pPr>
            <w:widowControl w:val="0"/>
            <w:autoSpaceDE w:val="0"/>
            <w:autoSpaceDN w:val="0"/>
            <w:spacing w:after="0" w:line="360" w:lineRule="auto"/>
            <w:ind w:left="727" w:right="673"/>
            <w:jc w:val="center"/>
            <w:rPr>
              <w:rFonts w:ascii="Times New Roman" w:eastAsia="Times New Roman" w:hAnsi="Times New Roman" w:cs="Times New Roman"/>
              <w:spacing w:val="1"/>
              <w:sz w:val="28"/>
              <w:szCs w:val="28"/>
            </w:rPr>
          </w:pPr>
          <w:r w:rsidRPr="00FA68D7">
            <w:rPr>
              <w:rFonts w:ascii="Times New Roman" w:eastAsia="Times New Roman" w:hAnsi="Times New Roman" w:cs="Times New Roman"/>
              <w:sz w:val="28"/>
              <w:szCs w:val="28"/>
            </w:rPr>
            <w:t xml:space="preserve">Научный доклад об основных результатах </w:t>
          </w:r>
          <w:r w:rsidR="002E2DFF">
            <w:rPr>
              <w:rFonts w:ascii="Times New Roman" w:eastAsia="Times New Roman" w:hAnsi="Times New Roman" w:cs="Times New Roman"/>
              <w:sz w:val="28"/>
              <w:szCs w:val="28"/>
            </w:rPr>
            <w:t xml:space="preserve">диссертационной работы </w:t>
          </w:r>
          <w:r w:rsidRPr="00FA68D7">
            <w:rPr>
              <w:rFonts w:ascii="Times New Roman" w:eastAsia="Times New Roman" w:hAnsi="Times New Roman" w:cs="Times New Roman"/>
              <w:sz w:val="28"/>
              <w:szCs w:val="28"/>
            </w:rPr>
            <w:t>на</w:t>
          </w:r>
          <w:r w:rsidRPr="00FA68D7">
            <w:rPr>
              <w:rFonts w:ascii="Times New Roman" w:eastAsia="Times New Roman" w:hAnsi="Times New Roman" w:cs="Times New Roman"/>
              <w:spacing w:val="-4"/>
              <w:sz w:val="28"/>
              <w:szCs w:val="28"/>
            </w:rPr>
            <w:t xml:space="preserve"> </w:t>
          </w:r>
          <w:r w:rsidRPr="00FA68D7">
            <w:rPr>
              <w:rFonts w:ascii="Times New Roman" w:eastAsia="Times New Roman" w:hAnsi="Times New Roman" w:cs="Times New Roman"/>
              <w:sz w:val="28"/>
              <w:szCs w:val="28"/>
            </w:rPr>
            <w:t>соискание</w:t>
          </w:r>
          <w:r w:rsidRPr="00FA68D7">
            <w:rPr>
              <w:rFonts w:ascii="Times New Roman" w:eastAsia="Times New Roman" w:hAnsi="Times New Roman" w:cs="Times New Roman"/>
              <w:spacing w:val="4"/>
              <w:sz w:val="28"/>
              <w:szCs w:val="28"/>
            </w:rPr>
            <w:t xml:space="preserve"> </w:t>
          </w:r>
          <w:r w:rsidRPr="00FA68D7">
            <w:rPr>
              <w:rFonts w:ascii="Times New Roman" w:eastAsia="Times New Roman" w:hAnsi="Times New Roman" w:cs="Times New Roman"/>
              <w:sz w:val="28"/>
              <w:szCs w:val="28"/>
            </w:rPr>
            <w:t>ученой степени</w:t>
          </w:r>
        </w:p>
        <w:p w:rsidR="00355E3F" w:rsidRPr="002E2DFF" w:rsidRDefault="00355E3F" w:rsidP="00C34945">
          <w:pPr>
            <w:widowControl w:val="0"/>
            <w:autoSpaceDE w:val="0"/>
            <w:autoSpaceDN w:val="0"/>
            <w:spacing w:after="0" w:line="360" w:lineRule="auto"/>
            <w:ind w:left="727" w:right="673"/>
            <w:jc w:val="center"/>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кандидата</w:t>
          </w:r>
          <w:r w:rsidRPr="00FA68D7">
            <w:rPr>
              <w:rFonts w:ascii="Times New Roman" w:eastAsia="Times New Roman" w:hAnsi="Times New Roman" w:cs="Times New Roman"/>
              <w:spacing w:val="-10"/>
              <w:sz w:val="28"/>
              <w:szCs w:val="28"/>
            </w:rPr>
            <w:t xml:space="preserve"> </w:t>
          </w:r>
          <w:r w:rsidR="00361CEB" w:rsidRPr="00FA68D7">
            <w:rPr>
              <w:rFonts w:ascii="Times New Roman" w:eastAsia="Times New Roman" w:hAnsi="Times New Roman" w:cs="Times New Roman"/>
              <w:sz w:val="28"/>
              <w:szCs w:val="28"/>
            </w:rPr>
            <w:t>медицинских</w:t>
          </w:r>
          <w:r w:rsidR="00C35610">
            <w:rPr>
              <w:rFonts w:ascii="Times New Roman" w:eastAsia="Times New Roman" w:hAnsi="Times New Roman" w:cs="Times New Roman"/>
              <w:spacing w:val="-11"/>
              <w:sz w:val="28"/>
              <w:szCs w:val="28"/>
            </w:rPr>
            <w:t xml:space="preserve"> </w:t>
          </w:r>
          <w:r w:rsidRPr="00FA68D7">
            <w:rPr>
              <w:rFonts w:ascii="Times New Roman" w:eastAsia="Times New Roman" w:hAnsi="Times New Roman" w:cs="Times New Roman"/>
              <w:sz w:val="28"/>
              <w:szCs w:val="28"/>
            </w:rPr>
            <w:t>наук</w:t>
          </w:r>
        </w:p>
        <w:p w:rsidR="00355E3F" w:rsidRDefault="00355E3F" w:rsidP="005146FA">
          <w:pPr>
            <w:widowControl w:val="0"/>
            <w:autoSpaceDE w:val="0"/>
            <w:autoSpaceDN w:val="0"/>
            <w:spacing w:after="0" w:line="360" w:lineRule="auto"/>
            <w:jc w:val="both"/>
            <w:rPr>
              <w:rFonts w:ascii="Times New Roman" w:eastAsia="Times New Roman" w:hAnsi="Times New Roman" w:cs="Times New Roman"/>
              <w:b/>
              <w:sz w:val="28"/>
              <w:szCs w:val="28"/>
            </w:rPr>
          </w:pPr>
        </w:p>
        <w:p w:rsidR="002E2DFF" w:rsidRDefault="002E2DFF" w:rsidP="005146FA">
          <w:pPr>
            <w:widowControl w:val="0"/>
            <w:autoSpaceDE w:val="0"/>
            <w:autoSpaceDN w:val="0"/>
            <w:spacing w:after="0" w:line="360" w:lineRule="auto"/>
            <w:jc w:val="both"/>
            <w:rPr>
              <w:rFonts w:ascii="Times New Roman" w:eastAsia="Times New Roman" w:hAnsi="Times New Roman" w:cs="Times New Roman"/>
              <w:b/>
              <w:sz w:val="28"/>
              <w:szCs w:val="28"/>
            </w:rPr>
          </w:pPr>
        </w:p>
        <w:p w:rsidR="002E2DFF" w:rsidRPr="00FA68D7" w:rsidRDefault="002E2DFF" w:rsidP="005146FA">
          <w:pPr>
            <w:widowControl w:val="0"/>
            <w:autoSpaceDE w:val="0"/>
            <w:autoSpaceDN w:val="0"/>
            <w:spacing w:after="0" w:line="360" w:lineRule="auto"/>
            <w:jc w:val="both"/>
            <w:rPr>
              <w:rFonts w:ascii="Times New Roman" w:eastAsia="Times New Roman" w:hAnsi="Times New Roman" w:cs="Times New Roman"/>
              <w:b/>
              <w:sz w:val="28"/>
              <w:szCs w:val="28"/>
            </w:rPr>
          </w:pPr>
        </w:p>
        <w:p w:rsidR="00355E3F" w:rsidRPr="00FA68D7" w:rsidRDefault="00355E3F" w:rsidP="00C34945">
          <w:pPr>
            <w:widowControl w:val="0"/>
            <w:autoSpaceDE w:val="0"/>
            <w:autoSpaceDN w:val="0"/>
            <w:spacing w:after="0" w:line="360" w:lineRule="auto"/>
            <w:jc w:val="right"/>
            <w:rPr>
              <w:rFonts w:ascii="Times New Roman" w:eastAsia="Times New Roman" w:hAnsi="Times New Roman" w:cs="Times New Roman"/>
              <w:b/>
              <w:sz w:val="28"/>
              <w:szCs w:val="28"/>
            </w:rPr>
          </w:pPr>
          <w:r w:rsidRPr="00FA68D7">
            <w:rPr>
              <w:rFonts w:ascii="Times New Roman" w:eastAsia="Times New Roman" w:hAnsi="Times New Roman" w:cs="Times New Roman"/>
              <w:b/>
              <w:sz w:val="28"/>
              <w:szCs w:val="28"/>
            </w:rPr>
            <w:t>Научный руководитель</w:t>
          </w:r>
        </w:p>
        <w:p w:rsidR="00361CEB" w:rsidRPr="00FA68D7" w:rsidRDefault="00361CEB" w:rsidP="00C34945">
          <w:pPr>
            <w:widowControl w:val="0"/>
            <w:autoSpaceDE w:val="0"/>
            <w:autoSpaceDN w:val="0"/>
            <w:spacing w:after="0" w:line="360" w:lineRule="auto"/>
            <w:jc w:val="right"/>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 xml:space="preserve">д.м.н., профессор, </w:t>
          </w:r>
        </w:p>
        <w:p w:rsidR="00361CEB" w:rsidRPr="00FA68D7" w:rsidRDefault="00361CEB" w:rsidP="00C34945">
          <w:pPr>
            <w:widowControl w:val="0"/>
            <w:autoSpaceDE w:val="0"/>
            <w:autoSpaceDN w:val="0"/>
            <w:spacing w:after="0" w:line="360" w:lineRule="auto"/>
            <w:jc w:val="right"/>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 xml:space="preserve">заведующий урологического отделения №2 </w:t>
          </w:r>
        </w:p>
        <w:p w:rsidR="00361CEB" w:rsidRPr="00FA68D7" w:rsidRDefault="00361CEB" w:rsidP="00C34945">
          <w:pPr>
            <w:widowControl w:val="0"/>
            <w:autoSpaceDE w:val="0"/>
            <w:autoSpaceDN w:val="0"/>
            <w:spacing w:after="0" w:line="360" w:lineRule="auto"/>
            <w:jc w:val="right"/>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Института урологии и репродуктивного здоровья человека,</w:t>
          </w:r>
        </w:p>
        <w:p w:rsidR="00361CEB" w:rsidRPr="00FA68D7" w:rsidRDefault="00361CEB" w:rsidP="00C34945">
          <w:pPr>
            <w:widowControl w:val="0"/>
            <w:autoSpaceDE w:val="0"/>
            <w:autoSpaceDN w:val="0"/>
            <w:spacing w:after="0" w:line="360" w:lineRule="auto"/>
            <w:jc w:val="right"/>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 xml:space="preserve">Еникеев Михаил </w:t>
          </w:r>
          <w:proofErr w:type="spellStart"/>
          <w:r w:rsidRPr="00FA68D7">
            <w:rPr>
              <w:rFonts w:ascii="Times New Roman" w:eastAsia="Times New Roman" w:hAnsi="Times New Roman" w:cs="Times New Roman"/>
              <w:sz w:val="28"/>
              <w:szCs w:val="28"/>
            </w:rPr>
            <w:t>Эликович</w:t>
          </w:r>
          <w:proofErr w:type="spellEnd"/>
        </w:p>
        <w:p w:rsidR="00355E3F" w:rsidRPr="00FA68D7" w:rsidRDefault="00355E3F" w:rsidP="005146FA">
          <w:pPr>
            <w:widowControl w:val="0"/>
            <w:autoSpaceDE w:val="0"/>
            <w:autoSpaceDN w:val="0"/>
            <w:spacing w:after="0" w:line="360" w:lineRule="auto"/>
            <w:jc w:val="both"/>
            <w:rPr>
              <w:rFonts w:ascii="Times New Roman" w:eastAsia="Times New Roman" w:hAnsi="Times New Roman" w:cs="Times New Roman"/>
              <w:sz w:val="28"/>
              <w:szCs w:val="28"/>
            </w:rPr>
          </w:pPr>
        </w:p>
        <w:p w:rsidR="00B71B1A" w:rsidRPr="00CF5923" w:rsidRDefault="00355E3F" w:rsidP="00C34945">
          <w:pPr>
            <w:widowControl w:val="0"/>
            <w:autoSpaceDE w:val="0"/>
            <w:autoSpaceDN w:val="0"/>
            <w:spacing w:after="0" w:line="360" w:lineRule="auto"/>
            <w:ind w:left="727" w:right="667"/>
            <w:jc w:val="center"/>
            <w:rPr>
              <w:rFonts w:ascii="Times New Roman" w:eastAsia="Times New Roman" w:hAnsi="Times New Roman" w:cs="Times New Roman"/>
              <w:sz w:val="28"/>
              <w:szCs w:val="28"/>
            </w:rPr>
          </w:pPr>
          <w:r w:rsidRPr="00FA68D7">
            <w:rPr>
              <w:rFonts w:ascii="Times New Roman" w:eastAsia="Times New Roman" w:hAnsi="Times New Roman" w:cs="Times New Roman"/>
              <w:sz w:val="28"/>
              <w:szCs w:val="28"/>
            </w:rPr>
            <w:t>Москва</w:t>
          </w:r>
          <w:r w:rsidRPr="00FA68D7">
            <w:rPr>
              <w:rFonts w:ascii="Times New Roman" w:eastAsia="Times New Roman" w:hAnsi="Times New Roman" w:cs="Times New Roman"/>
              <w:spacing w:val="-3"/>
              <w:sz w:val="28"/>
              <w:szCs w:val="28"/>
            </w:rPr>
            <w:t xml:space="preserve"> </w:t>
          </w:r>
          <w:r w:rsidRPr="00FA68D7">
            <w:rPr>
              <w:rFonts w:ascii="Times New Roman" w:eastAsia="Times New Roman" w:hAnsi="Times New Roman" w:cs="Times New Roman"/>
              <w:sz w:val="28"/>
              <w:szCs w:val="28"/>
            </w:rPr>
            <w:t>-</w:t>
          </w:r>
          <w:r w:rsidRPr="00FA68D7">
            <w:rPr>
              <w:rFonts w:ascii="Times New Roman" w:eastAsia="Times New Roman" w:hAnsi="Times New Roman" w:cs="Times New Roman"/>
              <w:spacing w:val="-9"/>
              <w:sz w:val="28"/>
              <w:szCs w:val="28"/>
            </w:rPr>
            <w:t xml:space="preserve"> </w:t>
          </w:r>
          <w:r w:rsidRPr="00FA68D7">
            <w:rPr>
              <w:rFonts w:ascii="Times New Roman" w:eastAsia="Times New Roman" w:hAnsi="Times New Roman" w:cs="Times New Roman"/>
              <w:sz w:val="28"/>
              <w:szCs w:val="28"/>
            </w:rPr>
            <w:t>2022</w:t>
          </w:r>
        </w:p>
      </w:sdtContent>
    </w:sdt>
    <w:p w:rsidR="00E73AE1" w:rsidRPr="008849FA" w:rsidRDefault="00E73AE1"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lastRenderedPageBreak/>
        <w:t>Актуальность</w:t>
      </w:r>
      <w:r w:rsidR="00BB2041" w:rsidRPr="008849FA">
        <w:rPr>
          <w:rFonts w:ascii="Times New Roman" w:hAnsi="Times New Roman" w:cs="Times New Roman"/>
          <w:b/>
          <w:sz w:val="28"/>
          <w:szCs w:val="28"/>
        </w:rPr>
        <w:t xml:space="preserve"> темы исследования</w:t>
      </w:r>
    </w:p>
    <w:p w:rsidR="00361CEB" w:rsidRPr="008849FA" w:rsidRDefault="00361CEB" w:rsidP="005146FA">
      <w:pPr>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Эрекция — </w:t>
      </w:r>
      <w:proofErr w:type="spellStart"/>
      <w:r w:rsidRPr="008849FA">
        <w:rPr>
          <w:rFonts w:ascii="Times New Roman" w:hAnsi="Times New Roman" w:cs="Times New Roman"/>
          <w:sz w:val="28"/>
          <w:szCs w:val="28"/>
        </w:rPr>
        <w:t>нейроваскулотканевой</w:t>
      </w:r>
      <w:proofErr w:type="spellEnd"/>
      <w:r w:rsidRPr="008849FA">
        <w:rPr>
          <w:rFonts w:ascii="Times New Roman" w:hAnsi="Times New Roman" w:cs="Times New Roman"/>
          <w:sz w:val="28"/>
          <w:szCs w:val="28"/>
        </w:rPr>
        <w:t xml:space="preserve"> феномен, связанный с гормональным контролем. Он включает расширение кавернозных артерий, расслабление гладкой мускулатуры трабекул и активацию вено-</w:t>
      </w:r>
      <w:proofErr w:type="spellStart"/>
      <w:r w:rsidRPr="008849FA">
        <w:rPr>
          <w:rFonts w:ascii="Times New Roman" w:hAnsi="Times New Roman" w:cs="Times New Roman"/>
          <w:sz w:val="28"/>
          <w:szCs w:val="28"/>
        </w:rPr>
        <w:t>окклюзионного</w:t>
      </w:r>
      <w:proofErr w:type="spellEnd"/>
      <w:r w:rsidRPr="008849FA">
        <w:rPr>
          <w:rFonts w:ascii="Times New Roman" w:hAnsi="Times New Roman" w:cs="Times New Roman"/>
          <w:sz w:val="28"/>
          <w:szCs w:val="28"/>
        </w:rPr>
        <w:t xml:space="preserve"> механизма кавернозных тел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URL":"https://www.rmj.ru/articles/urologiya/Epidemiologicheskoe_issledovanie_rasprostranennosti_erektilynoy_disfunkcii_v_Rossiyskoy_Federacii/","accessed":{"date-parts":[["2022","4","3"]]},"id":"ITEM-1","issued":{"date-parts":[["0"]]},"title":"Эпидемиологическое исследование распространенности эректильной дисфункции в Российской Федерации | Пушкарь Д.Ю., Камалов А.А., Аль–Шукри С.Х., Еркович А.А., Коган М.И., Павлов В.Н., Журавлев В.Н., Берников А.Н. | «РМЖ» №3 от 07.02.2012","type":"webpage"},"uris":["http://www.mendeley.com/documents/?uuid=3ce36989-8760-344e-a667-8ffe0edee4dd"]}],"mendeley":{"formattedCitation":"[1]","plainTextFormattedCitation":"[1]","previouslyFormattedCitation":"[1]"},"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[1]</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{"citationItems":[{"id":"ITEM-1","itemData":{"DOI":"10.1001/jama.1993.03510010089036","ISSN":"15383598","abstract":"THE TERMimpotence, as it has been applied to the title of this conference, has traditionally been used to signify the inability of the male to attain and maintain erection of the penis sufficient to permit satisfactory sexual intercourse. However, this use has often led to confusing and uninterpretable results in clinical and basic science investigations. This, together with its pejorative implications, suggests that the more precise termerectile dysfunctionbe used instead to signify an inability of the male to achieve an erect penis as part of the overall multifaceted process of male sexual function. This process comprises a variety of physical aspects with important psychological and behavioral overtones. In an effort to be precise in the analysis of the material discussed at this conference, this consensus report addresses issues of male erectile dysfunction as implied by use of the termimpotencein the reports that have been presented.","container-title":"JAMA: The Journal of the American Medical Association","id":"ITEM-1","issue":"1","issued":{"date-parts":[["1993","7","7"]]},"page":"83-90","publisher":"American Medical Association","title":"Impotence: NIH Consensus Development Panel on Impotence","type":"article-journal","volume":"270"},"uris":["http://www.mendeley.com/documents/?uuid=19862a63-b014-33fb-a568-2ab435e333fd"]}],"mendeley":{"formattedCitation":"[2]","plainTextFormattedCitation":"[2]","previouslyFormattedCitation":"[2]"},"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w:t>
      </w:r>
    </w:p>
    <w:p w:rsidR="00361CEB" w:rsidRPr="008849FA" w:rsidRDefault="00361CEB" w:rsidP="005146FA">
      <w:pPr>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Эректильная дисфункция (ЭД) — это продолжающаяся или временно возникающая (не менее 90 дней)  неспособность достижения или поддержания эрекции, достаточной для проведения полового акта</w:t>
      </w:r>
      <w:r w:rsidR="005146FA">
        <w:rPr>
          <w:rFonts w:ascii="Times New Roman" w:hAnsi="Times New Roman" w:cs="Times New Roman"/>
          <w:sz w:val="28"/>
          <w:szCs w:val="28"/>
        </w:rPr>
        <w:t xml:space="preserve">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{"citationItems":[{"id":"ITEM-1","itemData":{"DOI":"10.1001/jama.1993.03510010089036","ISSN":"15383598","abstract":"THE TERMimpotence, as it has been applied to the title of this conference, has traditionally been used to signify the inability of the male to attain and maintain erection of the penis sufficient to permit satisfactory sexual intercourse. However, this use has often led to confusing and uninterpretable results in clinical and basic science investigations. This, together with its pejorative implications, suggests that the more precise termerectile dysfunctionbe used instead to signify an inability of the male to achieve an erect penis as part of the overall multifaceted process of male sexual function. This process comprises a variety of physical aspects with important psychological and behavioral overtones. In an effort to be precise in the analysis of the material discussed at this conference, this consensus report addresses issues of male erectile dysfunction as implied by use of the termimpotencein the reports that have been presented.","container-title":"JAMA: The Journal of the American Medical Association","id":"ITEM-1","issue":"1","issued":{"date-parts":[["1993","7","7"]]},"page":"83-90","publisher":"American Medical Association","title":"Impotence: NIH Consensus Development Panel on Impotence","type":"article-journal","volume":"270"},"uris":["http://www.mendeley.com/documents/?uuid=19862a63-b014-33fb-a568-2ab435e333fd"]}],"mendeley":{"formattedCitation":"[2]","plainTextFormattedCitation":"[2]","previouslyFormattedCitation":"[2]"},"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ЭД весьма распространённое заболевание в Российской Федерации, так как встречается у 48,7 % мужчин в возрасте 20-77 лет. 34,6% мужчин страдают ЭД лёгкой степени, 7,2% — средней степени и 7,1% — тяжёлой степени</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{"citationItems":[{"id":"ITEM-1","itemData":{"DOI":"10.1001/jama.1993.03510010089036","ISSN":"15383598","abstract":"THE TERMimpotence, as it has been applied to the title of this conference, has traditionally been used to signify the inability of the male to attain and maintain erection of the penis sufficient to permit satisfactory sexual intercourse. However, this use has often led to confusing and uninterpretable results in clinical and basic science investigations. This, together with its pejorative implications, suggests that the more precise termerectile dysfunctionbe used instead to signify an inability of the male to achieve an erect penis as part of the overall multifaceted process of male sexual function. This process comprises a variety of physical aspects with important psychological and behavioral overtones. In an effort to be precise in the analysis of the material discussed at this conference, this consensus report addresses issues of male erectile dysfunction as implied by use of the termimpotencein the reports that have been presented.","container-title":"JAMA: The Journal of the American Medical Association","id":"ITEM-1","issue":"1","issued":{"date-parts":[["1993","7","7"]]},"page":"83-90","publisher":"American Medical Association","title":"Impotence: NIH Consensus Development Panel on Impotence","type":"article-journal","volume":"270"},"uris":["http://www.mendeley.com/documents/?uuid=19862a63-b014-33fb-a568-2ab435e333fd"]}],"mendeley":{"formattedCitation":"[2]","plainTextFormattedCitation":"[2]","previouslyFormattedCitation":"[2]"},"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Так, в Дании частота новых случаев эректильной дисфункции на 1000 мужчин составляет 19,2%, в Бразилии — 65,6% и в США — 26%</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{"citationItems":[{"id":"ITEM-1","itemData":{"DOI":"10.1038/IJIR.2016.8","ISSN":"1476-5489","PMID":"26865104","abstract":"An analysis of prevalence and associated common risk factors of ED and lower urinary tract symptoms (LUTS) was performed in Russian Federation by cross-sectional multicenter survey. International Index of Erectile Function (IIEF) score and International Prostate Symptom Score (IPSS) were used for data collection in 1225 men between 20 and 77 years interviewed in six regions of Russian Federation. In addition, each participant's social, demographic, lifestyle, sexual and medical history was taken with special emphasis on risk factors for ED. Upon the basis of IIEF erectile domain score interpretation, ED was found in 530 (48.9%) men, consisting of mild and mild to moderate, moderate and severe ED in 375 (34.6%), 78 (7.2%) and 77 (7.1%) respondents, respectively. According to IPSS assessment, LUTSs were present in 649 (59.9%) responders; inclusive 370 (34.2%), 216 (19.9%) and 63 (5.8%) men with mild, moderate and severe LUTS, respectively. Men with both ED and LUTS shared common co-morbidities and lifestyle risk factors with age-adjusted odds ratio between 1.2 and 5.2. In logistic regression model (R 2 =0.361), the strongest associated with ED factor found was IPSS symptom score, followed by hypertension, IPSS-related quality of life, age, diabetes mellitus, obesity and unmotivated fatigue.","author":[{"dropping-particle":"","family":"Korneyev","given":"I. A.","non-dropping-particle":"","parse-names":false,"suffix":""},{"dropping-particle":"","family":"Alexeeva","given":"T. A.","non-dropping-particle":"","parse-names":false,"suffix":""},{"dropping-particle":"","family":"Al-Shukri","given":"S. H.","non-dropping-particle":"","parse-names":false,"suffix":""},{"dropping-particle":"","family":"Bernikov","given":"A. N.","non-dropping-particle":"","parse-names":false,"suffix":""},{"dropping-particle":"","family":"Erkovich","given":"A. A.","non-dropping-particle":"","parse-names":false,"suffix":""},{"dropping-particle":"","family":"Kamalov","given":"A. A.","non-dropping-particle":"","parse-names":false,"suffix":""},{"dropping-particle":"","family":"Kogan","given":"M. I.","non-dropping-particle":"","parse-names":false,"suffix":""},{"dropping-particle":"","family":"Pavlov","given":"V. N.","non-dropping-particle":"","parse-names":false,"suffix":""},{"dropping-particle":"","family":"Zhuravlev","given":"V. N.","non-dropping-particle":"","parse-names":false,"suffix":""},{"dropping-particle":"","family":"Pushkar","given":"D. Y.","non-dropping-particle":"","parse-names":false,"suffix":""}],"container-title":"International journal of impotence research","id":"ITEM-1","issue":"2","issued":{"date-parts":[["2016","3","1"]]},"page":"74-79","publisher":"Int J Impot Res","title":"Prevalence and risk factors for erectile dysfunction and lower urinary tract symptoms in Russian Federation men: analysis from a national population-based multicenter study","type":"article-journal","volume":"28"},"uris":["http://www.mendeley.com/documents/?uuid=7d0311cd-093a-3b24-a019-003fa225c8e8"]}],"mendeley":{"formattedCitation":"[3]","plainTextFormattedCitation":"[3]","previouslyFormattedCitation":"[3]"},"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[3]</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w:t>
      </w:r>
    </w:p>
    <w:p w:rsidR="00361CEB" w:rsidRPr="008849FA" w:rsidRDefault="00361CEB" w:rsidP="005146FA">
      <w:pPr>
        <w:spacing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Частота указанного сексуального расстройства увеличивается с возрастом: в 40—50 лет его выявляют у 40% мужчин, в 50— 60 лет — практически у половины обследованных (48—57%), а в старшей возрастной группе этим расстройством страдают более 70% мужчин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{"citationItems":[{"id":"ITEM-1","itemData":{"author":[{"dropping-particle":"","family":"Али Х.М., Аляев Ю.Г.","given":"Акопян Г.Н и др.","non-dropping-particle":"","parse-names":false,"suffix":""}],"id":"ITEM-1","issued":{"date-parts":[["2013"]]},"number-of-pages":"543—558","title":"Урология: учебник / под ред. П.В. Глыбочко, Ю.Г. Аляева. — 3-е изд., перераб. и доп. — М.: ГЭОТАР Медиа","type":"book"},"uris":["http://www.mendeley.com/documents/?uuid=31bcbbf7-88be-41bd-8f72-c4e664c597cb"]}],"mendeley":{"formattedCitation":"[4]","plainTextFormattedCitation":"[4]","previouslyFormattedCitation":"[4]"},"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[4]</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Среди курильщиков ЭД встречается на 15—20% чаще, чем среди некурящих мужчин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{"citationItems":[{"id":"ITEM-1","itemData":{"DOI":"10.1111/DME.13403","ISSN":"14645491","PMID":"28722225","abstract":"Erectile dysfunction may be common among men with diabetes, but its prevalence is still debated. We aimed to assess the relative prevalence of erectile dysfunction in diabetes searching major databases from inception to November 2016 for studies reporting erectile dysfunction in men with Type 1 and Type 2 diabetes mellitus. We conducted a meta-analysis of the prevalence [and 95% confidence intervals (95% CIs)] of erectile dysfunction in diabetes compared with healthy controls, calculating the relative odds ratios (ORs) and 95% CIs. A random effect model was applied. From 3747 initial hits, 145 studies were included representing 88 577 men (age: 55.8 ± 7.9 years). The prevalence of erectile dysfunction in diabetes overall was 52.5% (95% CI, 48.8 to 56.2) after adjusting for publication bias, and 37.5%, 66.3% and 57.7% in Type 1, Type 2 and both types of diabetes, respectively (P for interaction &lt; 0.0001). The prevalence of erectile dysfunction was highest in studies using the Sexual Health Inventory for Men (82.2%, 17 studies, P for interaction &lt; 0.0001). Studies with a higher percentage of people with hypertension moderated our results (beta = 0.03; 95% CI, 0.008 to 0.040; P = 0.003; R2 = 0.00). Compared to healthy controls (n = 5385) men with diabetes (n = 863) were at increased odds of having erectile dysfunction (OR 3.62; 95% CI, 2.53 to 5.16; P &lt; 0.0001; I2 = 67%, k = 8). Erectile dysfunction is common in diabetes, affecting more than half of men with the condition and with a prevalence odds of approximately 3.5 times more than controls. Our findings suggest that screening and appropriate intervention for men with erectile dysfunction is warranted.","author":[{"dropping-particle":"","family":"Kouidrat","given":"Y.","non-dropping-particle":"","parse-names":false,"suffix":""},{"dropping-particle":"","family":"Pizzol","given":"D.","non-dropping-particle":"","parse-names":false,"suffix":""},{"dropping-particle":"","family":"Cosco","given":"T.","non-dropping-particle":"","parse-names":false,"suffix":""},{"dropping-particle":"","family":"Thompson","given":"T.","non-dropping-particle":"","parse-names":false,"suffix":""},{"dropping-particle":"","family":"Carnaghi","given":"M.","non-dropping-particle":"","parse-names":false,"suffix":""},{"dropping-particle":"","family":"Bertoldo","given":"A.","non-dropping-particle":"","parse-names":false,"suffix":""},{"dropping-particle":"","family":"Solmi","given":"M.","non-dropping-particle":"","parse-names":false,"suffix":""},{"dropping-particle":"","family":"Stubbs","given":"B.","non-dropping-particle":"","parse-names":false,"suffix":""},{"dropping-particle":"","family":"Veronese","given":"N.","non-dropping-particle":"","parse-names":false,"suffix":""}],"container-title":"Diabetic Medicine","id":"ITEM-1","issue":"9","issued":{"date-parts":[["2017","9","1"]]},"page":"1185-1192","publisher":"Blackwell Publishing Ltd","title":"High prevalence of erectile dysfunction in diabetes: a systematic review and meta-analysis of 145 studies","type":"article-journal","volume":"34"},"uris":["http://www.mendeley.com/documents/?uuid=eeefaf79-97fa-3b4f-8310-e6291ebaec10"]}],"mendeley":{"formattedCitation":"[5]","plainTextFormattedCitation":"[5]","previouslyFormattedCitation":"[5]"},"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[5]</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В соответствии с современными клиническими рекомендациями, основные направления в лечении ЭД включают: </w:t>
      </w:r>
    </w:p>
    <w:p w:rsidR="00361CEB" w:rsidRPr="008849FA" w:rsidRDefault="005146FA"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1CEB" w:rsidRPr="008849FA">
        <w:rPr>
          <w:rFonts w:ascii="Times New Roman" w:eastAsia="Times New Roman" w:hAnsi="Times New Roman" w:cs="Times New Roman"/>
          <w:sz w:val="28"/>
          <w:szCs w:val="28"/>
          <w:lang w:eastAsia="ru-RU"/>
        </w:rPr>
        <w:t xml:space="preserve">рекомендации по изменению образа жизни пациента и отказ от вредных </w:t>
      </w:r>
      <w:r w:rsidR="00361CEB" w:rsidRPr="008849FA">
        <w:rPr>
          <w:rFonts w:ascii="Times New Roman" w:hAnsi="Times New Roman" w:cs="Times New Roman"/>
          <w:sz w:val="28"/>
          <w:szCs w:val="28"/>
        </w:rPr>
        <w:t xml:space="preserve">привычек </w:t>
      </w:r>
      <w:r w:rsidR="00361CEB" w:rsidRPr="008849FA">
        <w:rPr>
          <w:rFonts w:ascii="Times New Roman" w:hAnsi="Times New Roman" w:cs="Times New Roman"/>
          <w:sz w:val="28"/>
          <w:szCs w:val="28"/>
        </w:rPr>
        <w:fldChar w:fldCharType="begin" w:fldLock="1"/>
      </w:r>
      <w:r w:rsidR="00361CEB" w:rsidRPr="008849FA">
        <w:rPr>
          <w:rFonts w:ascii="Times New Roman" w:hAnsi="Times New Roman" w:cs="Times New Roman"/>
          <w:sz w:val="28"/>
          <w:szCs w:val="28"/>
        </w:rPr>
        <w:instrText>ADDIN CSL_CITATION {"citationItems":[{"id":"ITEM-1","itemData":{"DOI":"10.1038/ijir.2010.4","ISSN":"1476-5489","PMID":"20410903","abstract":"Vacuum therapy (VT) utilizes negative pressure to distend the corporal sinusoids and to increase the blood inflow to the penis. Depending on its purpose, VT could be used as vacuum constriction device (VCD), with the aid of an external constricting ring which is placed at the base of penis to prevent blood outflow, maintaining the erection for sexual intercourse. Also, as a vacuum erectile device (VED), without the application of a constriction ring, just increases blood oxygenation to the corpora cavernosa and for other purposes. The emerging of phosphodiesterase 5 inhibitors (PDE5I) for the treatment of erectile dysfunction (ED) eclipsed VCD as therapeutic choice for ED; however, widespread usage of VED as part of penile rehabilitation after radical prostatectomy and other purposes rekindle the interest for VT. The underlying hypothesis is that the artificial induction of erections shortly after surgery facilitates tissue oxygenation, reducing cavernosal fibrosis in the absence of nocturnal erections, and potentially increases the likelihood of preserving erectile function. Due to its ability to draw blood into the penis regardless of nerve disturbance, VED has become the centerpiece of penile rehabilitation protocols. Herein, we reviewed the history, mechanism, application, side effects and future direction of VT in ED.","author":[{"dropping-particle":"","family":"Yuan","given":"J.","non-dropping-particle":"","parse-names":false,"suffix":""},{"dropping-particle":"","family":"Hoang","given":"A. N.","non-dropping-particle":"","parse-names":false,"suffix":""},{"dropping-particle":"","family":"Romero","given":"C. A.","non-dropping-particle":"","parse-names":false,"suffix":""},{"dropping-particle":"","family":"Lin","given":"H.","non-dropping-particle":"","parse-names":false,"suffix":""},{"dropping-particle":"","family":"Dai","given":"Y.","non-dropping-particle":"","parse-names":false,"suffix":""},{"dropping-particle":"","family":"Wang","given":"R.","non-dropping-particle":"","parse-names":false,"suffix":""}],"container-title":"International Journal of Impotence Research 2010 22:4","id":"ITEM-1","issue":"4","issued":{"date-parts":[["2010","4","22"]]},"page":"211-219","publisher":"Nature Publishing Group","title":"Vacuum therapy in erectile dysfunction—science and clinical evidence","type":"article-journal","volume":"22"},"uris":["http://www.mendeley.com/documents/?uuid=8586c7a0-870a-3936-aab5-dedf3169e499"]}],"mendeley":{"formattedCitation":"[6]","plainTextFormattedCitation":"[6]","previouslyFormattedCitation":"[6]"},"properties":{"noteIndex":0},"schema":"https://github.com/citation-style-language/schema/raw/master/csl-citation.json"}</w:instrText>
      </w:r>
      <w:r w:rsidR="00361CEB" w:rsidRPr="008849FA">
        <w:rPr>
          <w:rFonts w:ascii="Times New Roman" w:hAnsi="Times New Roman" w:cs="Times New Roman"/>
          <w:sz w:val="28"/>
          <w:szCs w:val="28"/>
        </w:rPr>
        <w:fldChar w:fldCharType="separate"/>
      </w:r>
      <w:r w:rsidR="00361CEB" w:rsidRPr="008849FA">
        <w:rPr>
          <w:rFonts w:ascii="Times New Roman" w:hAnsi="Times New Roman" w:cs="Times New Roman"/>
          <w:noProof/>
          <w:sz w:val="28"/>
          <w:szCs w:val="28"/>
        </w:rPr>
        <w:t>[6]</w:t>
      </w:r>
      <w:r w:rsidR="00361CEB" w:rsidRPr="008849FA">
        <w:rPr>
          <w:rFonts w:ascii="Times New Roman" w:hAnsi="Times New Roman" w:cs="Times New Roman"/>
          <w:sz w:val="28"/>
          <w:szCs w:val="28"/>
        </w:rPr>
        <w:fldChar w:fldCharType="end"/>
      </w:r>
      <w:r w:rsidR="00361CEB" w:rsidRPr="008849FA">
        <w:rPr>
          <w:rFonts w:ascii="Times New Roman" w:hAnsi="Times New Roman" w:cs="Times New Roman"/>
          <w:sz w:val="28"/>
          <w:szCs w:val="28"/>
        </w:rPr>
        <w:t>;</w:t>
      </w:r>
    </w:p>
    <w:p w:rsidR="005146FA" w:rsidRDefault="005146FA"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1CEB" w:rsidRPr="008849FA">
        <w:rPr>
          <w:rFonts w:ascii="Times New Roman" w:eastAsia="Times New Roman" w:hAnsi="Times New Roman" w:cs="Times New Roman"/>
          <w:sz w:val="28"/>
          <w:szCs w:val="28"/>
          <w:lang w:eastAsia="ru-RU"/>
        </w:rPr>
        <w:t>применение ингибиторов фосфодиэстеразы-5 (ФДЭ-5) в кач</w:t>
      </w:r>
      <w:r>
        <w:rPr>
          <w:rFonts w:ascii="Times New Roman" w:eastAsia="Times New Roman" w:hAnsi="Times New Roman" w:cs="Times New Roman"/>
          <w:sz w:val="28"/>
          <w:szCs w:val="28"/>
          <w:lang w:eastAsia="ru-RU"/>
        </w:rPr>
        <w:t>естве</w:t>
      </w:r>
    </w:p>
    <w:p w:rsidR="00361CEB" w:rsidRPr="008849FA" w:rsidRDefault="00361CEB" w:rsidP="005146FA">
      <w:pPr>
        <w:shd w:val="clear" w:color="auto" w:fill="FFFFFF"/>
        <w:spacing w:after="0" w:line="360" w:lineRule="auto"/>
        <w:ind w:left="-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препаратов первой (медикаментозной) линии терапии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{"citationItems":[{"id":"ITEM-1","itemData":{"DOI":"10.1016/J.EURURO.2013.10.014","ISSN":"0302-2838","PMID":"24183420","author":[{"dropping-particle":"","family":"Jiann","given":"Bang Ping","non-dropping-particle":"","parse-names":false,"suffix":""}],"container-title":"European Urology","id":"ITEM-1","issue":"3","issued":{"date-parts":[["2014","3","1"]]},"page":"e40","publisher":"Elsevier","title":"Re: JinQiu Yuan, RenJie Zhang, ZuYao Yang, et al. Comparative Effectiveness and Safety of Oral Phosphodiesterase Type 5 Inhibitors for Erectile Dysfunction: A Systematic Review and Network Meta-analysis. Eur Urol 2013;63:902–12","type":"article-journal","volume":"65"},"uris":["http://www.mendeley.com/documents/?uuid=128e93e1-7ec2-33c0-bcff-3986893d8d42"]}],"mendeley":{"formattedCitation":"[7]","plainTextFormattedCitation":"[7]","previouslyFormattedCitation":"[7]"},"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[7]</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{"citationItems":[{"id":"ITEM-1","itemData":{"DOI":"10.2147/CIIA.2006.1.4.403","ISSN":"11769092","PMID":"18046917","abstract":"Erectile dysfunction (ED) is a highly prevalent disease associated with aging as well as with several risk factors including hypertension, heart disease, obesity, dyslipidemia, diabetes, hypogonadism, drugs-related, and pelvic surgery. Many of these factors are components of the metabolic syndrome, a multiplex risk factor for cardiovascular disease (CVD). ED shares common risk factors with CVD. Endothelial dysfunction seems to be the early underlying pathophysiology across both conditions. The efficacy, tolerability and cardiovascular safety of sildenafil has been evaluated in numerous large, randomized, doubleblind, placebo-controlled clinical studies in the broad population of men with ED including men with several co-morbid conditions. Sildenafil is effective in several specific patient populations including the difficult-to-treat subpopulations such as diabetes mellitus and after radical prostatectomy. It is associated with rapid onset of action--within 14 minutes for some men--and an extended duration of action for up to 12 hours. Sildenafil improves quality of life and satisfaction for treated men and is well tolerated with a favorable safety profile. New data suggest that sildenafil has beneficial effects in several chronic conditions. It has been approved for the treatment of idiopathic pulmonary hypertension. Numerous articles have suggested that it improves endothelial function and a possible role on premature ejaculation or treatment of lower urinary tract symptoms has been suggested.","author":[{"dropping-particle":"","family":"Hatzimouratidis","given":"Konstantinos","non-dropping-particle":"","parse-names":false,"suffix":""}],"container-title":"Clinical Interventions in Aging","id":"ITEM-1","issue":"4","issued":{"date-parts":[["2006"]]},"page":"403","publisher":"Dove Press","title":"Sildenafil in the treatment of erectile dysfunction: an overview of the clinical evidence","type":"article-journal","volume":"1"},"uris":["http://www.mendeley.com/documents/?uuid=b06998d9-37a1-316d-ad2b-8c8e37b1439c"]}],"mendeley":{"formattedCitation":"[8]","plainTextFormattedCitation":"[8]","previouslyFormattedCitation":"[8]"},"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[8]</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{"citationItems":[{"id":"ITEM-1","itemData":{"DOI":"10.1016/J.EURURO.2015.03.031","ISSN":"0302-2838","PMID":"25817916","abstract":"Context Erectile dysfunction (ED) is a major health care problem worldwide and phosphodiesterase 5 inhibitors (PDE5Is) are the pharmacological treatment of choice. However, the optimal PDE5I for ED treatment is not known. Objective To investigate trade-offs between efficacy and adverse events for various PDE5Is in treating ED. Evidence acquisition A review was performed according to the Preferred Reporting Items for Systematic Reviews and Meta-Analyses Statement. Medline, Scopus, reference lists of relevant articles, and systematic reviews were searched. Eligible studies were randomized controlled trials comparing at least one PDE5I for treating ED with placebo or another PDE5I. Evidence synthesis We included 82 trials (47 626 patients) for efficacy analysis and 72 trials (20 325 patients) for adverse event analysis. In the trade-off analysis of starting dosages, sildenafil 50 mg had the greatest efficacy but also had the highest rate of overall adverse events. Tadalafil 10 mg had intermediate efficacy but had the lowest overall rate of all adverse events. Vardenafil 10 mg and avanafil 100 mg had similar overall adverse events than sildenafil 50 mg but a markedly lower global efficacy. Udenafil 100 mg had similar global efficacy to that of tadalafil 10 mg but its overall adverse event rates were higher. Conclusions This is the first trade-off analysis of the different PDE5Is currently available. For individuals who prioritize high efficacy, sildenafil 50 mg appears to be the treatment of choice. Men wishing to optimize tolerability should take tadalafil 10 mg or switch to udenafil 100 mg in the case of insufficient efficacy. Patient summary For patients with erectile dysfunction who wish to prioritize high efficacy, sildenafil 50 mg appears to be the treatment of choice. Men who wish to optimize tolerability should take tadalafil 10 mg or switch to udenafil 100 mg in the case of insufficient efficacy.","author":[{"dropping-particle":"","family":"Chen","given":"Liang","non-dropping-particle":"","parse-names":false,"suffix":""},{"dropping-particle":"","family":"Staubli","given":"Sergej E.L.","non-dropping-particle":"","parse-names":false,"suffix":""},{"dropping-particle":"","family":"Schneider","given":"Marc P.","non-dropping-particle":"","parse-names":false,"suffix":""},{"dropping-particle":"","family":"Kessels","given":"Alfons G.","non-dropping-particle":"","parse-names":false,"suffix":""},{"dropping-particle":"","family":"Ivic","given":"Sandra","non-dropping-particle":"","parse-names":false,"suffix":""},{"dropping-particle":"","family":"Bachmann","given":"Lucas M.","non-dropping-particle":"","parse-names":false,"suffix":""},{"dropping-particle":"","family":"Kessler","given":"Thomas M.","non-dropping-particle":"","parse-names":false,"suffix":""}],"container-title":"European Urology","id":"ITEM-1","issue":"4","issued":{"date-parts":[["2015","10","1"]]},"page":"674-680","publisher":"Elsevier","title":"Phosphodiesterase 5 Inhibitors for the Treatment of Erectile Dysfunction: A Trade-off Network Meta-analysis","type":"article-journal","volume":"68"},"uris":["http://www.mendeley.com/documents/?uuid=f736116c-e7f3-3faf-8fcf-bba4c24b4002"]}],"mendeley":{"formattedCitation":"[9]","plainTextFormattedCitation":"[9]","previouslyFormattedCitation":"[9]"},"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[9]</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{"citationItems":[{"id":"ITEM-1","itemData":{"DOI":"10.1038/ijir.2010.4","ISSN":"1476-5489","PMID":"20410903","abstract":"Vacuum therapy (VT) utilizes negative pressure to distend the corporal sinusoids and to increase the blood inflow to the penis. Depending on its purpose, VT could be used as vacuum constriction device (VCD), with the aid of an external constricting ring which is placed at the base of penis to prevent blood outflow, maintaining the erection for sexual intercourse. Also, as a vacuum erectile device (VED), without the application of a constriction ring, just increases blood oxygenation to the corpora cavernosa and for other purposes. The emerging of phosphodiesterase 5 inhibitors (PDE5I) for the treatment of erectile dysfunction (ED) eclipsed VCD as therapeutic choice for ED; however, widespread usage of VED as part of penile rehabilitation after radical prostatectomy and other purposes rekindle the interest for VT. The underlying hypothesis is that the artificial induction of erections shortly after surgery facilitates tissue oxygenation, reducing cavernosal fibrosis in the absence of nocturnal erections, and potentially increases the likelihood of preserving erectile function. Due to its ability to draw blood into the penis regardless of nerve disturbance, VED has become the centerpiece of penile rehabilitation protocols. Herein, we reviewed the history, mechanism, application, side effects and future direction of VT in ED.","author":[{"dropping-particle":"","family":"Yuan","given":"J.","non-dropping-particle":"","parse-names":false,"suffix":""},{"dropping-particle":"","family":"Hoang","given":"A. N.","non-dropping-particle":"","parse-names":false,"suffix":""},{"dropping-particle":"","family":"Romero","given":"C. A.","non-dropping-particle":"","parse-names":false,"suffix":""},{"dropping-particle":"","family":"Lin","given":"H.","non-dropping-particle":"","parse-names":false,"suffix":""},{"dropping-particle":"","family":"Dai","given":"Y.","non-dropping-particle":"","parse-names":false,"suffix":""},{"dropping-particle":"","family":"Wang","given":"R.","non-dropping-particle":"","parse-names":false,"suffix":""}],"container-title":"International Journal of Impotence Research 2010 22:4","id":"ITEM-1","issue":"4","issued":{"date-parts":[["2010","4","22"]]},"page":"211-219","publisher":"Nature Publishing Group","title":"Vacuum therapy in erectile dysfunction—science and clinical evidence","type":"article-journal","volume":"22"},"uris":["http://www.mendeley.com/documents/?uuid=8586c7a0-870a-3936-aab5-dedf3169e499"]}],"mendeley":{"formattedCitation":"[6]","plainTextFormattedCitation":"[6]","previouslyFormattedCitation":"[6]"},"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[6]</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w:t>
      </w:r>
    </w:p>
    <w:p w:rsidR="00361CEB" w:rsidRPr="008849FA" w:rsidRDefault="00361CEB" w:rsidP="005146FA">
      <w:pPr>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 применение вакуумных эректоров (в качестве терапии первой линии у хорошо информированных пациентов с нечастыми половыми актами и сопутствующими заболеваниями, требующими неинвазивного лечения ЭД)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{"citationItems":[{"id":"ITEM-1","itemData":{"DOI":"10.1038/ijir.2010.4","ISSN":"1476-5489","PMID":"20410903","abstract":"Vacuum therapy (VT) utilizes negative pressure to distend the corporal sinusoids and to increase the blood inflow to the penis. Depending on its purpose, VT could be used as vacuum constriction device (VCD), with the aid of an external constricting ring which is placed at the base of penis to prevent blood outflow, maintaining the erection for sexual intercourse. Also, as a vacuum erectile device (VED), without the application of a constriction ring, just increases blood oxygenation to the corpora cavernosa and for other purposes. The emerging of phosphodiesterase 5 inhibitors (PDE5I) for the treatment of erectile dysfunction (ED) eclipsed VCD as therapeutic choice for ED; however, widespread usage of VED as part of penile rehabilitation after radical prostatectomy and other purposes rekindle the interest for VT. The underlying hypothesis is that the artificial induction of erections shortly after surgery facilitates tissue oxygenation, reducing cavernosal fibrosis in the absence of nocturnal erections, and potentially increases the likelihood of preserving erectile function. Due to its ability to draw blood into the penis regardless of nerve disturbance, VED has become the centerpiece of penile rehabilitation protocols. Herein, we reviewed the history, mechanism, application, side effects and future direction of VT in ED.","author":[{"dropping-particle":"","family":"Yuan","given":"J.","non-dropping-particle":"","parse-names":false,"suffix":""},{"dropping-particle":"","family":"Hoang","given":"A. N.","non-dropping-particle":"","parse-names":false,"suffix":""},{"dropping-particle":"","family":"Romero","given":"C. A.","non-dropping-particle":"","parse-names":false,"suffix":""},{"dropping-particle":"","family":"Lin","given":"H.","non-dropping-particle":"","parse-names":false,"suffix":""},{"dropping-particle":"","family":"Dai","given":"Y.","non-dropping-particle":"","parse-names":false,"suffix":""},{"dropping-particle":"","family":"Wang","given":"R.","non-dropping-particle":"","parse-names":false,"suffix":""}],"container-title":"International Journal of Impotence Research 2010 22:4","id":"ITEM-1","issue":"4","issued":{"date-parts":[["2010","4","22"]]},"page":"211-219","publisher":"Nature Publishing Group","title":"Vacuum therapy in erectile dysfunction—science and clinical evidence","type":"article-journal","volume":"22"},"uris":["http://www.mendeley.com/documents/?uuid=8586c7a0-870a-3936-aab5-dedf3169e499"]}],"mendeley":{"formattedCitation":"[6]","plainTextFormattedCitation":"[6]","previouslyFormattedCitation":"[6]"},"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[6]</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{"citationItems":[{"id":"ITEM-1","itemData":{"DOI":"10.1016/J.ACURO.2016.07.005","ISSN":"1699-7980","PMID":"27521134","abstract":"Conclusiones El tratamiento con OCBI para la disfunción eréctil según la literatura resulta eficaz, tanto a corto como a medio plazo. A corto plazo se ha descrito incluso más eficaz que placebo. Los datos sobre eficacia a largo plazo son insuficientes. También se necesitan más estudios para dilucidar el papel de esta terapia según las causas específicas de la disfunción eréctil. Context The low-intensity shockwave (LISW) therapy is a recently developed modality for treating erectile dysfunction. Objective To assess the efficacy of LISW therapy for treating erectile dysfunction as described in the literature. Acquisition of evidence Two independent reviewers identified studies eligible for a systematic review and meta-analysis of various sources written in English and Spanish, using the databases of PubMed, EMBASE and Web of Science. We excluded studies on Peyronie's disease. We employed the DerSimonian-Laird method for defining heterogeneity, calculating the grouped standard deviation of the mean (SDM). The primary objective of this review is to assess efficacy based on the change in the International Index of Erectile Function (IIEF-EF) over baseline at 1 month from the start of treatment, both for the treatment arm and the placebo arm. The secondary objective is focused on analysing IIEF-EF at 3-6 months from the start of the therapy. Summary of the evidence The pooled data of 636 patients from 12 studies showed that treatment with LISW resulted in a significant increase in IIEF-EF at 1 month with respect to baseline (SDM, –2.92; P =.000), to a greater degree than placebo (SDM, –.99; P =.000). The IIEF-EF at 3-6 months for the treated patients was significantly greater than baseline (SDM, –2.78; P =.000). Only one study compared the efficacy of placebo at 3-6 months versus baseline (SDM, –9.14). The comparison between LISW and placebo favours active treatment (SDM, 2.53; P =.000) at 1 month. There are insufficient data in the literature to assess the response over placebo at 3-6 months. Conclusions According to the literature, treatment with LISW for erectile dysfunction is effective, both in the short and medium term. LISW has been described as more effective than placebo in the short term. The long-term efficacy data are insufficient. More studies are needed to explain the role of this therapy according to specific causes of erectile dysfunction.","author":[{"dropping-particle":"","family":"Angulo","given":"J. C.","non-dropping-particle":"","parse-names":false,"suffix":""},{"dropping-particle":"","family":"Arance","given":"I.","non-dropping-particle":"","parse-names":false,"suffix":""},{"dropping-particle":"","family":"las Heras","given":"M. M.","non-dropping-particle":"de","parse-names":false,"suffix":""},{"dropping-particle":"","family":"Meilán","given":"E.","non-dropping-particle":"","parse-names":false,"suffix":""},{"dropping-particle":"","family":"Esquinas","given":"C.","non-dropping-particle":"","parse-names":false,"suffix":""},{"dropping-particle":"","family":"Andrés","given":"E. M.","non-dropping-particle":"","parse-names":false,"suffix":""}],"container-title":"Actas urologicas espanolas","id":"ITEM-1","issue":"8","issued":{"date-parts":[["2017","10","1"]]},"page":"479-490","publisher":"Actas Urol Esp","title":"Efficacy of low-intensity shock wave therapy for erectile dysfunction: A systematic review and meta-analysis","type":"article-journal","volume":"41"},"uris":["http://www.mendeley.com/documents/?uuid=233cf85e-b833-3220-8252-00a626b6542d"]}],"mendeley":{"formattedCitation":"[10]","plainTextFormattedCitation":"[10]","previouslyFormattedCitation":"[10]"},"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[10]</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{"citationItems":[{"id":"ITEM-1","itemData":{"ISBN":"978-5-9704-2159-8","author":[{"dropping-particle":"","family":"Аляев","given":"Глыбочко, Чалый, Ахвледиани.","non-dropping-particle":"","parse-names":false,"suffix":""}],"id":"ITEM-1","issued":{"date-parts":[["2012"]]},"number-of-pages":"71-90","publisher":"2012","title":"Книга: \"Половые расстройства у мужчин\" ","type":"book"},"uris":["http://www.mendeley.com/documents/?uuid=aa0a6a3e-7afd-3870-9742-e392202d1fe3"]}],"mendeley":{"formattedCitation":"[11]","plainTextFormattedCitation":"[11]","previouslyFormattedCitation":"[11]"},"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[11]</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lastRenderedPageBreak/>
        <w:t>-   примен</w:t>
      </w:r>
      <w:r w:rsidR="005146FA">
        <w:rPr>
          <w:rFonts w:ascii="Times New Roman" w:eastAsia="Times New Roman" w:hAnsi="Times New Roman" w:cs="Times New Roman"/>
          <w:sz w:val="28"/>
          <w:szCs w:val="28"/>
          <w:lang w:eastAsia="ru-RU"/>
        </w:rPr>
        <w:t>ение низкоэнергетической ударно-</w:t>
      </w:r>
      <w:r w:rsidRPr="008849FA">
        <w:rPr>
          <w:rFonts w:ascii="Times New Roman" w:eastAsia="Times New Roman" w:hAnsi="Times New Roman" w:cs="Times New Roman"/>
          <w:sz w:val="28"/>
          <w:szCs w:val="28"/>
          <w:lang w:eastAsia="ru-RU"/>
        </w:rPr>
        <w:t xml:space="preserve">волновой терапии (в качестве альтернативной терапии первой линии лечения, имеющих легкую степень ЭД, либо при отсутствии эффекта от ингибиторов ФДЭ-5)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{"citationItems":[{"id":"ITEM-1","itemData":{"DOI":"10.1016/J.EURURO.2015.03.031","ISSN":"0302-2838","PMID":"25817916","abstract":"Context Erectile dysfunction (ED) is a major health care problem worldwide and phosphodiesterase 5 inhibitors (PDE5Is) are the pharmacological treatment of choice. However, the optimal PDE5I for ED treatment is not known. Objective To investigate trade-offs between efficacy and adverse events for various PDE5Is in treating ED. Evidence acquisition A review was performed according to the Preferred Reporting Items for Systematic Reviews and Meta-Analyses Statement. Medline, Scopus, reference lists of relevant articles, and systematic reviews were searched. Eligible studies were randomized controlled trials comparing at least one PDE5I for treating ED with placebo or another PDE5I. Evidence synthesis We included 82 trials (47 626 patients) for efficacy analysis and 72 trials (20 325 patients) for adverse event analysis. In the trade-off analysis of starting dosages, sildenafil 50 mg had the greatest efficacy but also had the highest rate of overall adverse events. Tadalafil 10 mg had intermediate efficacy but had the lowest overall rate of all adverse events. Vardenafil 10 mg and avanafil 100 mg had similar overall adverse events than sildenafil 50 mg but a markedly lower global efficacy. Udenafil 100 mg had similar global efficacy to that of tadalafil 10 mg but its overall adverse event rates were higher. Conclusions This is the first trade-off analysis of the different PDE5Is currently available. For individuals who prioritize high efficacy, sildenafil 50 mg appears to be the treatment of choice. Men wishing to optimize tolerability should take tadalafil 10 mg or switch to udenafil 100 mg in the case of insufficient efficacy. Patient summary For patients with erectile dysfunction who wish to prioritize high efficacy, sildenafil 50 mg appears to be the treatment of choice. Men who wish to optimize tolerability should take tadalafil 10 mg or switch to udenafil 100 mg in the case of insufficient efficacy.","author":[{"dropping-particle":"","family":"Chen","given":"Liang","non-dropping-particle":"","parse-names":false,"suffix":""},{"dropping-particle":"","family":"Staubli","given":"Sergej E.L.","non-dropping-particle":"","parse-names":false,"suffix":""},{"dropping-particle":"","family":"Schneider","given":"Marc P.","non-dropping-particle":"","parse-names":false,"suffix":""},{"dropping-particle":"","family":"Kessels","given":"Alfons G.","non-dropping-particle":"","parse-names":false,"suffix":""},{"dropping-particle":"","family":"Ivic","given":"Sandra","non-dropping-particle":"","parse-names":false,"suffix":""},{"dropping-particle":"","family":"Bachmann","given":"Lucas M.","non-dropping-particle":"","parse-names":false,"suffix":""},{"dropping-particle":"","family":"Kessler","given":"Thomas M.","non-dropping-particle":"","parse-names":false,"suffix":""}],"container-title":"European Urology","id":"ITEM-1","issue":"4","issued":{"date-parts":[["2015","10","1"]]},"page":"674-680","publisher":"Elsevier","title":"Phosphodiesterase 5 Inhibitors for the Treatment of Erectile Dysfunction: A Trade-off Network Meta-analysis","type":"article-journal","volume":"68"},"uris":["http://www.mendeley.com/documents/?uuid=f736116c-e7f3-3faf-8fcf-bba4c24b4002"]}],"mendeley":{"formattedCitation":"[9]","plainTextFormattedCitation":"[9]","previouslyFormattedCitation":"[9]"},"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[9]</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{"citationItems":[{"id":"ITEM-1","itemData":{"DOI":"10.1016/J.JSXM.2016.11.001/ATTACHMENT/3908F6A4-2FFD-47C4-93FB-E9AF6BF60F6B/MMC1.XLSX","ISSN":"17436109","PMID":"27986492","abstract":"Introduction: Low-intensity extracorporeal shock wave therapy (Li-ESWT) has been proposed as an effective non-invasive treatment option for erectile dysfunction (ED). Aim: To use systematic review and meta-analysis to assess the efficacy of Li-ESWT by comparing change in erectile function as assessed by the erectile function domain of the International Index of Erectile Function (IIEF-EF) in men undergoing Li-ESWT vs sham therapy for the treatment of ED. Methods: Systematic search was conducted of MEDLINE, EMBASE, and ClinicalTrials.gov for randomized controlled trials that were published in peer-reviewed journals or presented in abstract form of Li-ESWT used for the treatment of ED from January 2010 through March 2016. Randomized controlled trials were eligible for inclusion if they were published in the peer-reviewed literature and assessed erectile function outcomes using the IIEF-EF score. Estimates were pooled using random-effects meta-analysis. Main Outcome Measures: Change in IIEF-EF score after treatment with Li-ESWT in patients treated with active treatment vs sham Li-ESWT probes. Results: Data were extracted from seven trials involving 602 participants. The average age was 60.7 years and the average follow-up was 19.8 weeks. There was a statistically significant improvement in pooled change in IIEF-EF score from baseline to follow-up in men undergoing Li-ESWT vs those undergoing sham therapy (6.40 points; 95% CI = 1.78–11.02; I2 = 98.7%; P &lt;.0001 vs 1.65 points; 95% CI = 0.92–2.39; I2 = 64.6%; P &lt;.0001; between-group difference, P =.047). Significant between-group differences were found for total treatment shocks received by patients (P &lt;.0001). Conclusion: In this meta-analysis of seven randomized controlled trials, treatment of ED with Li-ESWT resulted in a significant increase in IIEF-EF scores.","author":[{"dropping-particle":"","family":"Clavijo","given":"Raul I.","non-dropping-particle":"","parse-names":false,"suffix":""},{"dropping-particle":"","family":"Kohn","given":"Taylor P.","non-dropping-particle":"","parse-names":false,"suffix":""},{"dropping-particle":"","family":"Kohn","given":"Jaden R.","non-dropping-particle":"","parse-names":false,"suffix":""},{"dropping-particle":"","family":"Ramasamy","given":"Ranjith","non-dropping-particle":"","parse-names":false,"suffix":""}],"container-title":"Journal of Sexual Medicine","id":"ITEM-1","issue":"1","issued":{"date-parts":[["2017","1","1"]]},"page":"27-35","publisher":"Elsevier B.V.","title":"Effects of Low-Intensity Extracorporeal Shockwave Therapy on Erectile Dysfunction: A Systematic Review and Meta-Analysis","type":"article-journal","volume":"14"},"uris":["http://www.mendeley.com/documents/?uuid=7322b082-d7e2-37f3-a184-ec28e069f22f"]}],"mendeley":{"formattedCitation":"[12]","plainTextFormattedCitation":"[12]","previouslyFormattedCitation":"[12]"},"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[12]</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    применение </w:t>
      </w:r>
      <w:proofErr w:type="spellStart"/>
      <w:r w:rsidRPr="008849FA">
        <w:rPr>
          <w:rFonts w:ascii="Times New Roman" w:eastAsia="Times New Roman" w:hAnsi="Times New Roman" w:cs="Times New Roman"/>
          <w:sz w:val="28"/>
          <w:szCs w:val="28"/>
          <w:lang w:eastAsia="ru-RU"/>
        </w:rPr>
        <w:t>интракавернозных</w:t>
      </w:r>
      <w:proofErr w:type="spellEnd"/>
      <w:r w:rsidRPr="008849FA">
        <w:rPr>
          <w:rFonts w:ascii="Times New Roman" w:eastAsia="Times New Roman" w:hAnsi="Times New Roman" w:cs="Times New Roman"/>
          <w:sz w:val="28"/>
          <w:szCs w:val="28"/>
          <w:lang w:eastAsia="ru-RU"/>
        </w:rPr>
        <w:t xml:space="preserve"> инъекций синтетиче</w:t>
      </w:r>
      <w:r w:rsidR="005146FA">
        <w:rPr>
          <w:rFonts w:ascii="Times New Roman" w:eastAsia="Times New Roman" w:hAnsi="Times New Roman" w:cs="Times New Roman"/>
          <w:sz w:val="28"/>
          <w:szCs w:val="28"/>
          <w:lang w:eastAsia="ru-RU"/>
        </w:rPr>
        <w:t xml:space="preserve">ского аналога простагландина Е1 </w:t>
      </w:r>
      <w:r w:rsidRPr="008849FA">
        <w:rPr>
          <w:rFonts w:ascii="Times New Roman" w:eastAsia="Times New Roman" w:hAnsi="Times New Roman" w:cs="Times New Roman"/>
          <w:sz w:val="28"/>
          <w:szCs w:val="28"/>
          <w:lang w:eastAsia="ru-RU"/>
        </w:rPr>
        <w:t>(</w:t>
      </w:r>
      <w:proofErr w:type="spellStart"/>
      <w:r w:rsidRPr="008849FA">
        <w:rPr>
          <w:rFonts w:ascii="Times New Roman" w:eastAsia="Times New Roman" w:hAnsi="Times New Roman" w:cs="Times New Roman"/>
          <w:sz w:val="28"/>
          <w:szCs w:val="28"/>
          <w:lang w:eastAsia="ru-RU"/>
        </w:rPr>
        <w:t>алпростадил</w:t>
      </w:r>
      <w:proofErr w:type="spellEnd"/>
      <w:r w:rsidRPr="008849FA">
        <w:rPr>
          <w:rFonts w:ascii="Times New Roman" w:eastAsia="Times New Roman" w:hAnsi="Times New Roman" w:cs="Times New Roman"/>
          <w:sz w:val="28"/>
          <w:szCs w:val="28"/>
          <w:lang w:eastAsia="ru-RU"/>
        </w:rPr>
        <w:t xml:space="preserve">) (в качестве препаратов второй линии терапии)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{"citationItems":[{"id":"ITEM-1","itemData":{"DOI":"10.2147/CIIA.2006.1.4.403","ISSN":"11769092","PMID":"18046917","abstract":"Erectile dysfunction (ED) is a highly prevalent disease associated with aging as well as with several risk factors including hypertension, heart disease, obesity, dyslipidemia, diabetes, hypogonadism, drugs-related, and pelvic surgery. Many of these factors are components of the metabolic syndrome, a multiplex risk factor for cardiovascular disease (CVD). ED shares common risk factors with CVD. Endothelial dysfunction seems to be the early underlying pathophysiology across both conditions. The efficacy, tolerability and cardiovascular safety of sildenafil has been evaluated in numerous large, randomized, doubleblind, placebo-controlled clinical studies in the broad population of men with ED including men with several co-morbid conditions. Sildenafil is effective in several specific patient populations including the difficult-to-treat subpopulations such as diabetes mellitus and after radical prostatectomy. It is associated with rapid onset of action--within 14 minutes for some men--and an extended duration of action for up to 12 hours. Sildenafil improves quality of life and satisfaction for treated men and is well tolerated with a favorable safety profile. New data suggest that sildenafil has beneficial effects in several chronic conditions. It has been approved for the treatment of idiopathic pulmonary hypertension. Numerous articles have suggested that it improves endothelial function and a possible role on premature ejaculation or treatment of lower urinary tract symptoms has been suggested.","author":[{"dropping-particle":"","family":"Hatzimouratidis","given":"Konstantinos","non-dropping-particle":"","parse-names":false,"suffix":""}],"container-title":"Clinical Interventions in Aging","id":"ITEM-1","issue":"4","issued":{"date-parts":[["2006"]]},"page":"403","publisher":"Dove Press","title":"Sildenafil in the treatment of erectile dysfunction: an overview of the clinical evidence","type":"article-journal","volume":"1"},"uris":["http://www.mendeley.com/documents/?uuid=b06998d9-37a1-316d-ad2b-8c8e37b1439c"]}],"mendeley":{"formattedCitation":"[8]","plainTextFormattedCitation":"[8]","previouslyFormattedCitation":"[8]"},"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[8]</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{"citationItems":[{"id":"ITEM-1","itemData":{"DOI":"10.1016/J.EURURO.2015.03.031","ISSN":"0302-2838","PMID":"25817916","abstract":"Context Erectile dysfunction (ED) is a major health care problem worldwide and phosphodiesterase 5 inhibitors (PDE5Is) are the pharmacological treatment of choice. However, the optimal PDE5I for ED treatment is not known. Objective To investigate trade-offs between efficacy and adverse events for various PDE5Is in treating ED. Evidence acquisition A review was performed according to the Preferred Reporting Items for Systematic Reviews and Meta-Analyses Statement. Medline, Scopus, reference lists of relevant articles, and systematic reviews were searched. Eligible studies were randomized controlled trials comparing at least one PDE5I for treating ED with placebo or another PDE5I. Evidence synthesis We included 82 trials (47 626 patients) for efficacy analysis and 72 trials (20 325 patients) for adverse event analysis. In the trade-off analysis of starting dosages, sildenafil 50 mg had the greatest efficacy but also had the highest rate of overall adverse events. Tadalafil 10 mg had intermediate efficacy but had the lowest overall rate of all adverse events. Vardenafil 10 mg and avanafil 100 mg had similar overall adverse events than sildenafil 50 mg but a markedly lower global efficacy. Udenafil 100 mg had similar global efficacy to that of tadalafil 10 mg but its overall adverse event rates were higher. Conclusions This is the first trade-off analysis of the different PDE5Is currently available. For individuals who prioritize high efficacy, sildenafil 50 mg appears to be the treatment of choice. Men wishing to optimize tolerability should take tadalafil 10 mg or switch to udenafil 100 mg in the case of insufficient efficacy. Patient summary For patients with erectile dysfunction who wish to prioritize high efficacy, sildenafil 50 mg appears to be the treatment of choice. Men who wish to optimize tolerability should take tadalafil 10 mg or switch to udenafil 100 mg in the case of insufficient efficacy.","author":[{"dropping-particle":"","family":"Chen","given":"Liang","non-dropping-particle":"","parse-names":false,"suffix":""},{"dropping-particle":"","family":"Staubli","given":"Sergej E.L.","non-dropping-particle":"","parse-names":false,"suffix":""},{"dropping-particle":"","family":"Schneider","given":"Marc P.","non-dropping-particle":"","parse-names":false,"suffix":""},{"dropping-particle":"","family":"Kessels","given":"Alfons G.","non-dropping-particle":"","parse-names":false,"suffix":""},{"dropping-particle":"","family":"Ivic","given":"Sandra","non-dropping-particle":"","parse-names":false,"suffix":""},{"dropping-particle":"","family":"Bachmann","given":"Lucas M.","non-dropping-particle":"","parse-names":false,"suffix":""},{"dropping-particle":"","family":"Kessler","given":"Thomas M.","non-dropping-particle":"","parse-names":false,"suffix":""}],"container-title":"European Urology","id":"ITEM-1","issue":"4","issued":{"date-parts":[["2015","10","1"]]},"page":"674-680","publisher":"Elsevier","title":"Phosphodiesterase 5 Inhibitors for the Treatment of Erectile Dysfunction: A Trade-off Network Meta-analysis","type":"article-journal","volume":"68"},"uris":["http://www.mendeley.com/documents/?uuid=f736116c-e7f3-3faf-8fcf-bba4c24b4002"]}],"mendeley":{"formattedCitation":"[9]","plainTextFormattedCitation":"[9]","previouslyFormattedCitation":"[9]"},"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[9]</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   </w:t>
      </w:r>
      <w:proofErr w:type="spellStart"/>
      <w:r w:rsidRPr="008849FA">
        <w:rPr>
          <w:rFonts w:ascii="Times New Roman" w:eastAsia="Times New Roman" w:hAnsi="Times New Roman" w:cs="Times New Roman"/>
          <w:sz w:val="28"/>
          <w:szCs w:val="28"/>
          <w:lang w:eastAsia="ru-RU"/>
        </w:rPr>
        <w:t>фаллопротезирование</w:t>
      </w:r>
      <w:proofErr w:type="spellEnd"/>
      <w:r w:rsidRPr="008849FA">
        <w:rPr>
          <w:rFonts w:ascii="Times New Roman" w:eastAsia="Times New Roman" w:hAnsi="Times New Roman" w:cs="Times New Roman"/>
          <w:sz w:val="28"/>
          <w:szCs w:val="28"/>
          <w:lang w:eastAsia="ru-RU"/>
        </w:rPr>
        <w:t xml:space="preserve"> (в качестве третьей линии лечения пациентов)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{"citationItems":[{"id":"ITEM-1","itemData":{"DOI":"10.1016/J.EURURO.2015.03.031","ISSN":"0302-2838","PMID":"25817916","abstract":"Context Erectile dysfunction (ED) is a major health care problem worldwide and phosphodiesterase 5 inhibitors (PDE5Is) are the pharmacological treatment of choice. However, the optimal PDE5I for ED treatment is not known. Objective To investigate trade-offs between efficacy and adverse events for various PDE5Is in treating ED. Evidence acquisition A review was performed according to the Preferred Reporting Items for Systematic Reviews and Meta-Analyses Statement. Medline, Scopus, reference lists of relevant articles, and systematic reviews were searched. Eligible studies were randomized controlled trials comparing at least one PDE5I for treating ED with placebo or another PDE5I. Evidence synthesis We included 82 trials (47 626 patients) for efficacy analysis and 72 trials (20 325 patients) for adverse event analysis. In the trade-off analysis of starting dosages, sildenafil 50 mg had the greatest efficacy but also had the highest rate of overall adverse events. Tadalafil 10 mg had intermediate efficacy but had the lowest overall rate of all adverse events. Vardenafil 10 mg and avanafil 100 mg had similar overall adverse events than sildenafil 50 mg but a markedly lower global efficacy. Udenafil 100 mg had similar global efficacy to that of tadalafil 10 mg but its overall adverse event rates were higher. Conclusions This is the first trade-off analysis of the different PDE5Is currently available. For individuals who prioritize high efficacy, sildenafil 50 mg appears to be the treatment of choice. Men wishing to optimize tolerability should take tadalafil 10 mg or switch to udenafil 100 mg in the case of insufficient efficacy. Patient summary For patients with erectile dysfunction who wish to prioritize high efficacy, sildenafil 50 mg appears to be the treatment of choice. Men who wish to optimize tolerability should take tadalafil 10 mg or switch to udenafil 100 mg in the case of insufficient efficacy.","author":[{"dropping-particle":"","family":"Chen","given":"Liang","non-dropping-particle":"","parse-names":false,"suffix":""},{"dropping-particle":"","family":"Staubli","given":"Sergej E.L.","non-dropping-particle":"","parse-names":false,"suffix":""},{"dropping-particle":"","family":"Schneider","given":"Marc P.","non-dropping-particle":"","parse-names":false,"suffix":""},{"dropping-particle":"","family":"Kessels","given":"Alfons G.","non-dropping-particle":"","parse-names":false,"suffix":""},{"dropping-particle":"","family":"Ivic","given":"Sandra","non-dropping-particle":"","parse-names":false,"suffix":""},{"dropping-particle":"","family":"Bachmann","given":"Lucas M.","non-dropping-particle":"","parse-names":false,"suffix":""},{"dropping-particle":"","family":"Kessler","given":"Thomas M.","non-dropping-particle":"","parse-names":false,"suffix":""}],"container-title":"European Urology","id":"ITEM-1","issue":"4","issued":{"date-parts":[["2015","10","1"]]},"page":"674-680","publisher":"Elsevier","title":"Phosphodiesterase 5 Inhibitors for the Treatment of Erectile Dysfunction: A Trade-off Network Meta-analysis","type":"article-journal","volume":"68"},"uris":["http://www.mendeley.com/documents/?uuid=f736116c-e7f3-3faf-8fcf-bba4c24b4002"]}],"mendeley":{"formattedCitation":"[9]","plainTextFormattedCitation":"[9]","previouslyFormattedCitation":"[9]"},"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[9]</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{"citationItems":[{"id":"ITEM-1","itemData":{"DOI":"10.1016/J.JSXM.2016.11.001/ATTACHMENT/3908F6A4-2FFD-47C4-93FB-E9AF6BF60F6B/MMC1.XLSX","ISSN":"17436109","PMID":"27986492","abstract":"Introduction: Low-intensity extracorporeal shock wave therapy (Li-ESWT) has been proposed as an effective non-invasive treatment option for erectile dysfunction (ED). Aim: To use systematic review and meta-analysis to assess the efficacy of Li-ESWT by comparing change in erectile function as assessed by the erectile function domain of the International Index of Erectile Function (IIEF-EF) in men undergoing Li-ESWT vs sham therapy for the treatment of ED. Methods: Systematic search was conducted of MEDLINE, EMBASE, and ClinicalTrials.gov for randomized controlled trials that were published in peer-reviewed journals or presented in abstract form of Li-ESWT used for the treatment of ED from January 2010 through March 2016. Randomized controlled trials were eligible for inclusion if they were published in the peer-reviewed literature and assessed erectile function outcomes using the IIEF-EF score. Estimates were pooled using random-effects meta-analysis. Main Outcome Measures: Change in IIEF-EF score after treatment with Li-ESWT in patients treated with active treatment vs sham Li-ESWT probes. Results: Data were extracted from seven trials involving 602 participants. The average age was 60.7 years and the average follow-up was 19.8 weeks. There was a statistically significant improvement in pooled change in IIEF-EF score from baseline to follow-up in men undergoing Li-ESWT vs those undergoing sham therapy (6.40 points; 95% CI = 1.78–11.02; I2 = 98.7%; P &lt;.0001 vs 1.65 points; 95% CI = 0.92–2.39; I2 = 64.6%; P &lt;.0001; between-group difference, P =.047). Significant between-group differences were found for total treatment shocks received by patients (P &lt;.0001). Conclusion: In this meta-analysis of seven randomized controlled trials, treatment of ED with Li-ESWT resulted in a significant increase in IIEF-EF scores.","author":[{"dropping-particle":"","family":"Clavijo","given":"Raul I.","non-dropping-particle":"","parse-names":false,"suffix":""},{"dropping-particle":"","family":"Kohn","given":"Taylor P.","non-dropping-particle":"","parse-names":false,"suffix":""},{"dropping-particle":"","family":"Kohn","given":"Jaden R.","non-dropping-particle":"","parse-names":false,"suffix":""},{"dropping-particle":"","family":"Ramasamy","given":"Ranjith","non-dropping-particle":"","parse-names":false,"suffix":""}],"container-title":"Journal of Sexual Medicine","id":"ITEM-1","issue":"1","issued":{"date-parts":[["2017","1","1"]]},"page":"27-35","publisher":"Elsevier B.V.","title":"Effects of Low-Intensity Extracorporeal Shockwave Therapy on Erectile Dysfunction: A Systematic Review and Meta-Analysis","type":"article-journal","volume":"14"},"uris":["http://www.mendeley.com/documents/?uuid=7322b082-d7e2-37f3-a184-ec28e069f22f"]}],"mendeley":{"formattedCitation":"[12]","plainTextFormattedCitation":"[12]","previouslyFormattedCitation":"[12]"},"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[12]</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{"citationItems":[{"id":"ITEM-1","itemData":{"DOI":"10.1080/17434440.2017.1403897","ISSN":"1745-2422","PMID":"29119841","abstract":"Introduction: Current treatment for erectile dysfunction (ED) mostly attempts to improve erectile function with limited impact on altering the underlying pathophysiology of ED. Recent animal experiments have supported the notion that low intensity extracorporeal shockwave therapy (LIESWT) significantly improves penile hemodynamics and might induce structural changes that regenerate penile tissue. Areas covered: This review article provides an overview of the basic mechanics and clinical studies pertaining to LIESWT and its use in the field of ED. We identify several key aspects of LIESWT and compare contemporary LIESWT machines and their clinical outcomes. Expert commentary: There is emerging and strong literature to support the use of LIESWT in men with ED, with many clinical studies reported encouraging results in the use of LIESWT with improved erectile function, good safety records, and short-term durability. However, there is a need to define which subgroup of ED population is best suited and the LIESWT treatment protocol including LIESWT template, modality of shock waves energy, emission frequency, and total energy delivery. More stringent randomised controlled trials are warranted before there is widespread acceptance of this LIESWT technology as the standard of care in ED.","author":[{"dropping-particle":"","family":"Chung","given":"Eric","non-dropping-particle":"","parse-names":false,"suffix":""},{"dropping-particle":"","family":"Wang","given":"Juan","non-dropping-particle":"","parse-names":false,"suffix":""}],"container-title":"Expert review of medical devices","id":"ITEM-1","issue":"12","issued":{"date-parts":[["2017","12","2"]]},"page":"929-934","publisher":"Expert Rev Med Devices","title":"A state-of-art review of low intensity extracorporeal shock wave therapy and lithotripter machines for the treatment of erectile dysfunction","type":"article-journal","volume":"14"},"uris":["http://www.mendeley.com/documents/?uuid=bc21926e-3356-3d38-9c1e-cce393c747a5"]}],"mendeley":{"formattedCitation":"[13]","plainTextFormattedCitation":"[13]","previouslyFormattedCitation":"[13]"},"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[13]</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{"citationItems":[{"id":"ITEM-1","itemData":{"DOI":"10.1016/J.ACURO.2019.10.008","ISSN":"0210-4806","PMID":"32172988","abstract":"Introduction: The implantation of a penile prosthesis is considered a third-line treatment and is indicated in patients who do not respond adequately to pharmacotherapy or require definitive treatment. Currently, the most used devices are 3-component penile prostheses, which presently account for more than 90% of the implants used. Material and methods: We reviewed the evidence and the recommendations of the clinical practice guidelines regarding surgery in patients with erectile dysfunction. Results: The recommendations of the clinical practice guidelines on surgery in patients with erectile dysfunction are summarized as follows: men with erectile dysfunction should be informed about the option of penile prosthesis implant treatment, commenting on the benefits, risks and consequences; men with erectile dysfunction who have agreed to receive penile prosthesis should be advised on post-surgical expectations; penile prosthesis implants should not be performed in patients with systemic, cutaneous or urinary tract infection; in young men with erectile dysfunction and focal penile or pelvic arterial obstruction who do not have generalized vascular disease or veno-occlusive dysfunction, penile arterial reconstruction can be considered; in men with erectile dysfunction, penile venous surgery is not recommended. Conclusions: The use of penile prostheses offers high satisfaction rates to both the patient and his partner. However, it is crucial to adequately inform and warn patients about possible complications and consequences.","author":[{"dropping-particle":"","family":"Medina-Polo","given":"J.","non-dropping-particle":"","parse-names":false,"suffix":""},{"dropping-particle":"","family":"García-Gómez","given":"B.","non-dropping-particle":"","parse-names":false,"suffix":""},{"dropping-particle":"","family":"Alonso-Isa","given":"M.","non-dropping-particle":"","parse-names":false,"suffix":""},{"dropping-particle":"","family":"Romero-Otero","given":"J.","non-dropping-particle":"","parse-names":false,"suffix":""}],"container-title":"Actas Urológicas Españolas","id":"ITEM-1","issue":"5","issued":{"date-parts":[["2020","6","1"]]},"page":"289-293","publisher":"Elsevier Doyma","title":"Visión global de las guías clínicas en cirugía de la disfunción eréctil: EUA-AUA","type":"article-journal","volume":"44"},"uris":["http://www.mendeley.com/documents/?uuid=e5132c5e-0d45-3dee-8751-cbc8040cb7ee"]}],"mendeley":{"formattedCitation":"[14]","plainTextFormattedCitation":"[14]","previouslyFormattedCitation":"[14]"},"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[14]</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{"citationItems":[{"id":"ITEM-1","itemData":{"DOI":"10.3109/02656736.2015.1092172","ISSN":"1464-5157","PMID":"26524223","abstract":"Purpose: Radiofrequency-based electrophysical agents are widely used in therapy-related clinical practice for their thermal effects, mainly relieving pain and inflammation and improving tissue extensibility. The most commonly used and researched are shortwave therapies that operate at 27.12 MHz. Although relatively new, electrophysical agents employing much lower frequencies have also emerged. Capacitive resistive monopolar radiofrequency employing 448 kHz is one such therapy. This laboratory-based study was aimed to investigate the skin thermal responses to 448 kHz radiofrequency-based therapy in healthy adults. Methods: In a two-group randomised crossover study, 15 volunteers attended two modes (capacitive and resistive) of 448 kHz radiofrequency-based therapy (using 'Indiba Activ 902') administered locally to the lower thigh region. Starting at minimum, the intensity was increased incrementally until thermal discomfort was felt. Participants reported three time points: thermal onset, definite thermal sensation, and onset of thermal discomfort. Local skin temperature was measured before, immediately post-treatment and up to 45 min posttreatment. Results: Both capacitive and resistive modes of therapy significantly increased the skin temperature and sustained it over the 45-min follow-up. There was statistically significant difference between the thermal response patterns produced by the two modes. Peak posttreatment temperatures attained were not significantly different between the two; however, the retention rate at follow-up was significantly higher for the resistive mode. Conclusions: This study confirms that radiofrequency-based therapy at 448 kHz can significantly increase and sustain skin temperature. The study also provides useful baseline data for further research in the low frequency ranges of radiofrequency-based therapy that remain largely unexplored.","author":[{"dropping-particle":"","family":"Kumaran","given":"Binoy","non-dropping-particle":"","parse-names":false,"suffix":""},{"dropping-particle":"","family":"Watson","given":"Tim","non-dropping-particle":"","parse-names":false,"suffix":""}],"container-title":"International journal of hyperthermia : the official journal of European Society for Hyperthermic Oncology, North American Hyperthermia Group","id":"ITEM-1","issue":"8","issued":{"date-parts":[["2015","11","17"]]},"page":"883-895","publisher":"Int J Hyperthermia","title":"Thermal build-up, decay and retention responses to local therapeutic application of 448 kHz capacitive resistive monopolar radiofrequency: A prospective randomised crossover study in healthy adults","type":"article-journal","volume":"31"},"uris":["http://www.mendeley.com/documents/?uuid=8f1acd60-2758-3dc8-9968-92b728699c78"]}],"mendeley":{"formattedCitation":"[15]","plainTextFormattedCitation":"[15]","previouslyFormattedCitation":"[15]"},"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[15]</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Однако</w:t>
      </w:r>
      <w:r w:rsidR="005146FA">
        <w:rPr>
          <w:rFonts w:ascii="Times New Roman" w:eastAsia="Times New Roman" w:hAnsi="Times New Roman" w:cs="Times New Roman"/>
          <w:sz w:val="28"/>
          <w:szCs w:val="28"/>
          <w:lang w:eastAsia="ru-RU"/>
        </w:rPr>
        <w:t>,</w:t>
      </w:r>
      <w:r w:rsidRPr="008849FA">
        <w:rPr>
          <w:rFonts w:ascii="Times New Roman" w:eastAsia="Times New Roman" w:hAnsi="Times New Roman" w:cs="Times New Roman"/>
          <w:sz w:val="28"/>
          <w:szCs w:val="28"/>
          <w:lang w:eastAsia="ru-RU"/>
        </w:rPr>
        <w:t xml:space="preserve"> все вышеперечисленные методики лечения наравне с преимуществами имеют и ряд недостатков. Так, при применении ингибиторов ФДЭ-5 в сочетании с антигипертензивными лекарственными препаратами и альфа1-адреноблокаторами может наблюдаться склонность к гипотензии. Ингибиторы ФДЭ-5 нельзя принимать параллельно с органическими нитратами ввиду потенцирования гипотензивного действия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{"citationItems":[{"id":"ITEM-1","itemData":{"DOI":"10.1016/J.EURURO.2013.10.014","ISSN":"0302-2838","PMID":"24183420","author":[{"dropping-particle":"","family":"Jiann","given":"Bang Ping","non-dropping-particle":"","parse-names":false,"suffix":""}],"container-title":"European Urology","id":"ITEM-1","issue":"3","issued":{"date-parts":[["2014","3","1"]]},"page":"e40","publisher":"Elsevier","title":"Re: JinQiu Yuan, RenJie Zhang, ZuYao Yang, et al. Comparative Effectiveness and Safety of Oral Phosphodiesterase Type 5 Inhibitors for Erectile Dysfunction: A Systematic Review and Network Meta-analysis. Eur Urol 2013;63:902–12","type":"article-journal","volume":"65"},"uris":["http://www.mendeley.com/documents/?uuid=128e93e1-7ec2-33c0-bcff-3986893d8d42"]}],"mendeley":{"formattedCitation":"[7]","plainTextFormattedCitation":"[7]","previouslyFormattedCitation":"[7]"},"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[7]</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{"citationItems":[{"id":"ITEM-1","itemData":{"DOI":"10.2147/CIIA.2006.1.4.403","ISSN":"11769092","PMID":"18046917","abstract":"Erectile dysfunction (ED) is a highly prevalent disease associated with aging as well as with several risk factors including hypertension, heart disease, obesity, dyslipidemia, diabetes, hypogonadism, drugs-related, and pelvic surgery. Many of these factors are components of the metabolic syndrome, a multiplex risk factor for cardiovascular disease (CVD). ED shares common risk factors with CVD. Endothelial dysfunction seems to be the early underlying pathophysiology across both conditions. The efficacy, tolerability and cardiovascular safety of sildenafil has been evaluated in numerous large, randomized, doubleblind, placebo-controlled clinical studies in the broad population of men with ED including men with several co-morbid conditions. Sildenafil is effective in several specific patient populations including the difficult-to-treat subpopulations such as diabetes mellitus and after radical prostatectomy. It is associated with rapid onset of action--within 14 minutes for some men--and an extended duration of action for up to 12 hours. Sildenafil improves quality of life and satisfaction for treated men and is well tolerated with a favorable safety profile. New data suggest that sildenafil has beneficial effects in several chronic conditions. It has been approved for the treatment of idiopathic pulmonary hypertension. Numerous articles have suggested that it improves endothelial function and a possible role on premature ejaculation or treatment of lower urinary tract symptoms has been suggested.","author":[{"dropping-particle":"","family":"Hatzimouratidis","given":"Konstantinos","non-dropping-particle":"","parse-names":false,"suffix":""}],"container-title":"Clinical Interventions in Aging","id":"ITEM-1","issue":"4","issued":{"date-parts":[["2006"]]},"page":"403","publisher":"Dove Press","title":"Sildenafil in the treatment of erectile dysfunction: an overview of the clinical evidence","type":"article-journal","volume":"1"},"uris":["http://www.mendeley.com/documents/?uuid=b06998d9-37a1-316d-ad2b-8c8e37b1439c"]}],"mendeley":{"formattedCitation":"[8]","plainTextFormattedCitation":"[8]","previouslyFormattedCitation":"[8]"},"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[8]</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{"citationItems":[{"id":"ITEM-1","itemData":{"DOI":"10.1016/J.EURURO.2015.03.031","ISSN":"0302-2838","PMID":"25817916","abstract":"Context Erectile dysfunction (ED) is a major health care problem worldwide and phosphodiesterase 5 inhibitors (PDE5Is) are the pharmacological treatment of choice. However, the optimal PDE5I for ED treatment is not known. Objective To investigate trade-offs between efficacy and adverse events for various PDE5Is in treating ED. Evidence acquisition A review was performed according to the Preferred Reporting Items for Systematic Reviews and Meta-Analyses Statement. Medline, Scopus, reference lists of relevant articles, and systematic reviews were searched. Eligible studies were randomized controlled trials comparing at least one PDE5I for treating ED with placebo or another PDE5I. Evidence synthesis We included 82 trials (47 626 patients) for efficacy analysis and 72 trials (20 325 patients) for adverse event analysis. In the trade-off analysis of starting dosages, sildenafil 50 mg had the greatest efficacy but also had the highest rate of overall adverse events. Tadalafil 10 mg had intermediate efficacy but had the lowest overall rate of all adverse events. Vardenafil 10 mg and avanafil 100 mg had similar overall adverse events than sildenafil 50 mg but a markedly lower global efficacy. Udenafil 100 mg had similar global efficacy to that of tadalafil 10 mg but its overall adverse event rates were higher. Conclusions This is the first trade-off analysis of the different PDE5Is currently available. For individuals who prioritize high efficacy, sildenafil 50 mg appears to be the treatment of choice. Men wishing to optimize tolerability should take tadalafil 10 mg or switch to udenafil 100 mg in the case of insufficient efficacy. Patient summary For patients with erectile dysfunction who wish to prioritize high efficacy, sildenafil 50 mg appears to be the treatment of choice. Men who wish to optimize tolerability should take tadalafil 10 mg or switch to udenafil 100 mg in the case of insufficient efficacy.","author":[{"dropping-particle":"","family":"Chen","given":"Liang","non-dropping-particle":"","parse-names":false,"suffix":""},{"dropping-particle":"","family":"Staubli","given":"Sergej E.L.","non-dropping-particle":"","parse-names":false,"suffix":""},{"dropping-particle":"","family":"Schneider","given":"Marc P.","non-dropping-particle":"","parse-names":false,"suffix":""},{"dropping-particle":"","family":"Kessels","given":"Alfons G.","non-dropping-particle":"","parse-names":false,"suffix":""},{"dropping-particle":"","family":"Ivic","given":"Sandra","non-dropping-particle":"","parse-names":false,"suffix":""},{"dropping-particle":"","family":"Bachmann","given":"Lucas M.","non-dropping-particle":"","parse-names":false,"suffix":""},{"dropping-particle":"","family":"Kessler","given":"Thomas M.","non-dropping-particle":"","parse-names":false,"suffix":""}],"container-title":"European Urology","id":"ITEM-1","issue":"4","issued":{"date-parts":[["2015","10","1"]]},"page":"674-680","publisher":"Elsevier","title":"Phosphodiesterase 5 Inhibitors for the Treatment of Erectile Dysfunction: A Trade-off Network Meta-analysis","type":"article-journal","volume":"68"},"uris":["http://www.mendeley.com/documents/?uuid=f736116c-e7f3-3faf-8fcf-bba4c24b4002"]}],"mendeley":{"formattedCitation":"[9]","plainTextFormattedCitation":"[9]","previouslyFormattedCitation":"[9]"},"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[9]</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В качестве первой линии терапии возможно применение вакуумных эректоров для хорошо информированных об особенностях данного лечения пожилых пациентов с низкой сексуальной активностью и сопутствующими заболеваниями, нуждающихся в немедикаментозном лечении ЭД. Эффективность применения вакуумных эректоров, составляет от 27 до 94%. Однако примерно 30% пациентов отказываются от применения вакуумных устройств в связи с высоким риском подкожных кровоизлияний, возникновением боли в области пениса и затруднением эякуляции, а также возможным снижением чувствительности головки полового члена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{"citationItems":[{"id":"ITEM-1","itemData":{"DOI":"10.1016/J.ACURO.2016.07.005","ISSN":"1699-7980","PMID":"27521134","abstract":"Conclusiones El tratamiento con OCBI para la disfunción eréctil según la literatura resulta eficaz, tanto a corto como a medio plazo. A corto plazo se ha descrito incluso más eficaz que placebo. Los datos sobre eficacia a largo plazo son insuficientes. También se necesitan más estudios para dilucidar el papel de esta terapia según las causas específicas de la disfunción eréctil. Context The low-intensity shockwave (LISW) therapy is a recently developed modality for treating erectile dysfunction. Objective To assess the efficacy of LISW therapy for treating erectile dysfunction as described in the literature. Acquisition of evidence Two independent reviewers identified studies eligible for a systematic review and meta-analysis of various sources written in English and Spanish, using the databases of PubMed, EMBASE and Web of Science. We excluded studies on Peyronie's disease. We employed the DerSimonian-Laird method for defining heterogeneity, calculating the grouped standard deviation of the mean (SDM). The primary objective of this review is to assess efficacy based on the change in the International Index of Erectile Function (IIEF-EF) over baseline at 1 month from the start of treatment, both for the treatment arm and the placebo arm. The secondary objective is focused on analysing IIEF-EF at 3-6 months from the start of the therapy. Summary of the evidence The pooled data of 636 patients from 12 studies showed that treatment with LISW resulted in a significant increase in IIEF-EF at 1 month with respect to baseline (SDM, –2.92; P =.000), to a greater degree than placebo (SDM, –.99; P =.000). The IIEF-EF at 3-6 months for the treated patients was significantly greater than baseline (SDM, –2.78; P =.000). Only one study compared the efficacy of placebo at 3-6 months versus baseline (SDM, –9.14). The comparison between LISW and placebo favours active treatment (SDM, 2.53; P =.000) at 1 month. There are insufficient data in the literature to assess the response over placebo at 3-6 months. Conclusions According to the literature, treatment with LISW for erectile dysfunction is effective, both in the short and medium term. LISW has been described as more effective than placebo in the short term. The long-term efficacy data are insufficient. More studies are needed to explain the role of this therapy according to specific causes of erectile dysfunction.","author":[{"dropping-particle":"","family":"Angulo","given":"J. C.","non-dropping-particle":"","parse-names":false,"suffix":""},{"dropping-particle":"","family":"Arance","given":"I.","non-dropping-particle":"","parse-names":false,"suffix":""},{"dropping-particle":"","family":"las Heras","given":"M. M.","non-dropping-particle":"de","parse-names":false,"suffix":""},{"dropping-particle":"","family":"Meilán","given":"E.","non-dropping-particle":"","parse-names":false,"suffix":""},{"dropping-particle":"","family":"Esquinas","given":"C.","non-dropping-particle":"","parse-names":false,"suffix":""},{"dropping-particle":"","family":"Andrés","given":"E. M.","non-dropping-particle":"","parse-names":false,"suffix":""}],"container-title":"Actas urologicas espanolas","id":"ITEM-1","issue":"8","issued":{"date-parts":[["2017","10","1"]]},"page":"479-490","publisher":"Actas Urol Esp","title":"Efficacy of low-intensity shock wave therapy for erectile dysfunction: A systematic review and meta-analysis","type":"article-journal","volume":"41"},"uris":["http://www.mendeley.com/documents/?uuid=233cf85e-b833-3220-8252-00a626b6542d"]}],"mendeley":{"formattedCitation":"[10]","plainTextFormattedCitation":"[10]","previouslyFormattedCitation":"[10]"},"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[10]</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{"citationItems":[{"id":"ITEM-1","itemData":{"ISBN":"978-5-9704-2159-8","author":[{"dropping-particle":"","family":"Аляев","given":"Глыбочко, Чалый, Ахвледиани.","non-dropping-particle":"","parse-names":false,"suffix":""}],"id":"ITEM-1","issued":{"date-parts":[["2012"]]},"number-of-pages":"71-90","publisher":"2012","title":"Книга: \"Половые расстройства у мужчин\" ","type":"book"},"uris":["http://www.mendeley.com/documents/?uuid=aa0a6a3e-7afd-3870-9742-e392202d1fe3"]}],"mendeley":{"formattedCitation":"[11]","plainTextFormattedCitation":"[11]","previouslyFormattedCitation":"[11]"},"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[11]</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Эффективность применения </w:t>
      </w:r>
      <w:proofErr w:type="spellStart"/>
      <w:r w:rsidRPr="008849FA">
        <w:rPr>
          <w:rFonts w:ascii="Times New Roman" w:eastAsia="Times New Roman" w:hAnsi="Times New Roman" w:cs="Times New Roman"/>
          <w:sz w:val="28"/>
          <w:szCs w:val="28"/>
          <w:lang w:eastAsia="ru-RU"/>
        </w:rPr>
        <w:t>интракавернозных</w:t>
      </w:r>
      <w:proofErr w:type="spellEnd"/>
      <w:r w:rsidRPr="008849FA">
        <w:rPr>
          <w:rFonts w:ascii="Times New Roman" w:eastAsia="Times New Roman" w:hAnsi="Times New Roman" w:cs="Times New Roman"/>
          <w:sz w:val="28"/>
          <w:szCs w:val="28"/>
          <w:lang w:eastAsia="ru-RU"/>
        </w:rPr>
        <w:t xml:space="preserve"> инъекций синтетического аналога простагландина Е1 (вторая линия терапии в лечении ЭД) - до 85% (в случае неэффективности пероральных лекарственных препаратов). На основании проведённых исследований сделан вывод - введение синтетического аналога простагландина Е1 </w:t>
      </w:r>
      <w:proofErr w:type="spellStart"/>
      <w:r w:rsidRPr="008849FA">
        <w:rPr>
          <w:rFonts w:ascii="Times New Roman" w:eastAsia="Times New Roman" w:hAnsi="Times New Roman" w:cs="Times New Roman"/>
          <w:sz w:val="28"/>
          <w:szCs w:val="28"/>
          <w:lang w:eastAsia="ru-RU"/>
        </w:rPr>
        <w:t>интракавернозно</w:t>
      </w:r>
      <w:proofErr w:type="spellEnd"/>
      <w:r w:rsidRPr="008849FA">
        <w:rPr>
          <w:rFonts w:ascii="Times New Roman" w:eastAsia="Times New Roman" w:hAnsi="Times New Roman" w:cs="Times New Roman"/>
          <w:sz w:val="28"/>
          <w:szCs w:val="28"/>
          <w:lang w:eastAsia="ru-RU"/>
        </w:rPr>
        <w:t xml:space="preserve"> сопряжено с определёнными рисками: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lastRenderedPageBreak/>
        <w:t xml:space="preserve">-   болями в половом члене (у 50% пациентов после выполнения 11% инъекций);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   </w:t>
      </w:r>
      <w:proofErr w:type="spellStart"/>
      <w:r w:rsidRPr="008849FA">
        <w:rPr>
          <w:rFonts w:ascii="Times New Roman" w:eastAsia="Times New Roman" w:hAnsi="Times New Roman" w:cs="Times New Roman"/>
          <w:sz w:val="28"/>
          <w:szCs w:val="28"/>
          <w:lang w:eastAsia="ru-RU"/>
        </w:rPr>
        <w:t>сверхпролонгированной</w:t>
      </w:r>
      <w:proofErr w:type="spellEnd"/>
      <w:r w:rsidRPr="008849FA">
        <w:rPr>
          <w:rFonts w:ascii="Times New Roman" w:eastAsia="Times New Roman" w:hAnsi="Times New Roman" w:cs="Times New Roman"/>
          <w:sz w:val="28"/>
          <w:szCs w:val="28"/>
          <w:lang w:eastAsia="ru-RU"/>
        </w:rPr>
        <w:t xml:space="preserve"> эрекцией (у 5% пациентов);</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приапизмом (1%);</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   фиброзом (2%).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           Кроме того, вторая линия терапии ЭД противопоказана пациентам с повышенной чувствительностью к используемым препаратам, пациентам с высоким риском развития приапизма и грубыми анатомическими дефектами полового члена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{"citationItems":[{"id":"ITEM-1","itemData":{"DOI":"10.2147/CIIA.2006.1.4.403","ISSN":"11769092","PMID":"18046917","abstract":"Erectile dysfunction (ED) is a highly prevalent disease associated with aging as well as with several risk factors including hypertension, heart disease, obesity, dyslipidemia, diabetes, hypogonadism, drugs-related, and pelvic surgery. Many of these factors are components of the metabolic syndrome, a multiplex risk factor for cardiovascular disease (CVD). ED shares common risk factors with CVD. Endothelial dysfunction seems to be the early underlying pathophysiology across both conditions. The efficacy, tolerability and cardiovascular safety of sildenafil has been evaluated in numerous large, randomized, doubleblind, placebo-controlled clinical studies in the broad population of men with ED including men with several co-morbid conditions. Sildenafil is effective in several specific patient populations including the difficult-to-treat subpopulations such as diabetes mellitus and after radical prostatectomy. It is associated with rapid onset of action--within 14 minutes for some men--and an extended duration of action for up to 12 hours. Sildenafil improves quality of life and satisfaction for treated men and is well tolerated with a favorable safety profile. New data suggest that sildenafil has beneficial effects in several chronic conditions. It has been approved for the treatment of idiopathic pulmonary hypertension. Numerous articles have suggested that it improves endothelial function and a possible role on premature ejaculation or treatment of lower urinary tract symptoms has been suggested.","author":[{"dropping-particle":"","family":"Hatzimouratidis","given":"Konstantinos","non-dropping-particle":"","parse-names":false,"suffix":""}],"container-title":"Clinical Interventions in Aging","id":"ITEM-1","issue":"4","issued":{"date-parts":[["2006"]]},"page":"403","publisher":"Dove Press","title":"Sildenafil in the treatment of erectile dysfunction: an overview of the clinical evidence","type":"article-journal","volume":"1"},"uris":["http://www.mendeley.com/documents/?uuid=b06998d9-37a1-316d-ad2b-8c8e37b1439c"]}],"mendeley":{"formattedCitation":"[8]","plainTextFormattedCitation":"[8]","previouslyFormattedCitation":"[8]"},"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[8]</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{"citationItems":[{"id":"ITEM-1","itemData":{"ISBN":"978-5-9704-2159-8","author":[{"dropping-particle":"","family":"Аляев","given":"Глыбочко, Чалый, Ахвледиани.","non-dropping-particle":"","parse-names":false,"suffix":""}],"id":"ITEM-1","issued":{"date-parts":[["2012"]]},"number-of-pages":"71-90","publisher":"2012","title":"Книга: \"Половые расстройства у мужчин\" ","type":"book"},"uris":["http://www.mendeley.com/documents/?uuid=aa0a6a3e-7afd-3870-9742-e392202d1fe3"]}],"mendeley":{"formattedCitation":"[11]","plainTextFormattedCitation":"[11]","previouslyFormattedCitation":"[11]"},"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[11]</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Третья линия терапии ЭД предусматривает возможность установки </w:t>
      </w:r>
      <w:proofErr w:type="spellStart"/>
      <w:r w:rsidRPr="008849FA">
        <w:rPr>
          <w:rFonts w:ascii="Times New Roman" w:eastAsia="Times New Roman" w:hAnsi="Times New Roman" w:cs="Times New Roman"/>
          <w:sz w:val="28"/>
          <w:szCs w:val="28"/>
          <w:lang w:eastAsia="ru-RU"/>
        </w:rPr>
        <w:t>пенильных</w:t>
      </w:r>
      <w:proofErr w:type="spellEnd"/>
      <w:r w:rsidRPr="008849FA">
        <w:rPr>
          <w:rFonts w:ascii="Times New Roman" w:eastAsia="Times New Roman" w:hAnsi="Times New Roman" w:cs="Times New Roman"/>
          <w:sz w:val="28"/>
          <w:szCs w:val="28"/>
          <w:lang w:eastAsia="ru-RU"/>
        </w:rPr>
        <w:t xml:space="preserve"> имплантатов - гибких (полужестких) и наполняемых (двух- или трехкомпонентных). Однако у данного метода имеется ряд недостатков, влекущих за собой такие осложнения, как </w:t>
      </w:r>
      <w:proofErr w:type="spellStart"/>
      <w:r w:rsidRPr="008849FA">
        <w:rPr>
          <w:rFonts w:ascii="Times New Roman" w:eastAsia="Times New Roman" w:hAnsi="Times New Roman" w:cs="Times New Roman"/>
          <w:sz w:val="28"/>
          <w:szCs w:val="28"/>
          <w:lang w:eastAsia="ru-RU"/>
        </w:rPr>
        <w:t>перипротезная</w:t>
      </w:r>
      <w:proofErr w:type="spellEnd"/>
      <w:r w:rsidRPr="008849FA">
        <w:rPr>
          <w:rFonts w:ascii="Times New Roman" w:eastAsia="Times New Roman" w:hAnsi="Times New Roman" w:cs="Times New Roman"/>
          <w:sz w:val="28"/>
          <w:szCs w:val="28"/>
          <w:lang w:eastAsia="ru-RU"/>
        </w:rPr>
        <w:t xml:space="preserve"> инфекция в послеоперационном периоде, или же осложнения, связанные с </w:t>
      </w:r>
      <w:proofErr w:type="spellStart"/>
      <w:r w:rsidRPr="008849FA">
        <w:rPr>
          <w:rFonts w:ascii="Times New Roman" w:eastAsia="Times New Roman" w:hAnsi="Times New Roman" w:cs="Times New Roman"/>
          <w:sz w:val="28"/>
          <w:szCs w:val="28"/>
          <w:lang w:eastAsia="ru-RU"/>
        </w:rPr>
        <w:t>необходимостю</w:t>
      </w:r>
      <w:proofErr w:type="spellEnd"/>
      <w:r w:rsidRPr="008849FA">
        <w:rPr>
          <w:rFonts w:ascii="Times New Roman" w:eastAsia="Times New Roman" w:hAnsi="Times New Roman" w:cs="Times New Roman"/>
          <w:sz w:val="28"/>
          <w:szCs w:val="28"/>
          <w:lang w:eastAsia="ru-RU"/>
        </w:rPr>
        <w:t xml:space="preserve"> </w:t>
      </w:r>
      <w:proofErr w:type="spellStart"/>
      <w:r w:rsidRPr="008849FA">
        <w:rPr>
          <w:rFonts w:ascii="Times New Roman" w:eastAsia="Times New Roman" w:hAnsi="Times New Roman" w:cs="Times New Roman"/>
          <w:sz w:val="28"/>
          <w:szCs w:val="28"/>
          <w:lang w:eastAsia="ru-RU"/>
        </w:rPr>
        <w:t>реимплантации</w:t>
      </w:r>
      <w:proofErr w:type="spellEnd"/>
      <w:r w:rsidRPr="008849FA">
        <w:rPr>
          <w:rFonts w:ascii="Times New Roman" w:eastAsia="Times New Roman" w:hAnsi="Times New Roman" w:cs="Times New Roman"/>
          <w:sz w:val="28"/>
          <w:szCs w:val="28"/>
          <w:lang w:eastAsia="ru-RU"/>
        </w:rPr>
        <w:t xml:space="preserve"> </w:t>
      </w:r>
      <w:proofErr w:type="spellStart"/>
      <w:r w:rsidRPr="008849FA">
        <w:rPr>
          <w:rFonts w:ascii="Times New Roman" w:eastAsia="Times New Roman" w:hAnsi="Times New Roman" w:cs="Times New Roman"/>
          <w:sz w:val="28"/>
          <w:szCs w:val="28"/>
          <w:lang w:eastAsia="ru-RU"/>
        </w:rPr>
        <w:t>фаллопротеза</w:t>
      </w:r>
      <w:proofErr w:type="spellEnd"/>
      <w:r w:rsidRPr="008849FA">
        <w:rPr>
          <w:rFonts w:ascii="Times New Roman" w:eastAsia="Times New Roman" w:hAnsi="Times New Roman" w:cs="Times New Roman"/>
          <w:sz w:val="28"/>
          <w:szCs w:val="28"/>
          <w:lang w:eastAsia="ru-RU"/>
        </w:rPr>
        <w:t xml:space="preserve"> при механической его поломке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{"citationItems":[{"id":"ITEM-1","itemData":{"DOI":"10.1016/J.JSXM.2016.01.016","ISSN":"1743-6109","PMID":"27045254","abstract":"Introduction Treatment of erectile dysfunction is based on pharmacotherapy for most patients. Aim To review the current data on pharmacotherapy for erectile dysfunction based on efficacy, psychosocial outcomes, and safety outcomes. Methods A review of the literature was undertaken by the committee members. All related articles were critically analyzed and discussed. Main Outcome Measures Levels of evidence (LEs) and grades of recommendations (GRs) are provided based on a thorough analysis of the literature and committee consensus. Results Ten recommendations are provided. (i) Phosphodiesterase type 5 (PDE5) inhibitors are effective, safe, and well-tolerated therapies for the treatment of men with erectile dysfunction (LE = 1, GR = A). (ii) There are no significant differences in efficacy, safety, and tolerability among PDE5 inhibitors (LE = 1, GR = A). (iii) PDE5 inhibitors are first-line therapy for most men with erectile dysfunction who do not have a specific contraindication to their use (LE = 3, GR = C). (iv) Intracavernosal injection therapy with alprostadil is an effective and well-tolerated treatment for men with erectile dysfunction (LE = 1, GR = A). (v) Intracavernosal injection therapy with alprostadil should be offered to patients as second-line therapy for erectile dysfunction (LE = 3, GR = C). (vi) Intraurethral and topical alprostadil are effective and well-tolerated treatments for men with erectile dysfunction (LE = 1, GR = A). (vii) Intraurethral and topical alprostadil should be considered second-line therapy for erectile dysfunction if available (LE = 3, GR = C). (viii) Dose titration of PDE5 inhibitors to the maximum tolerated dose is strongly recommended because it increases efficacy and satisfaction from treatment (LE = 2, GR = A). (ix) Treatment selection and follow-up should address the psychosocial profile and the needs and expectations of a patient for his sexual life. Shared decision making with the patient (and his partner) is strongly recommended (LE = 2, GR = A). (x) Counterfeit medicines are potentially dangerous. It is strongly recommended that physicians educate their patients to avoid taking any medication from unauthorized sources (LE = 2, GR = A). The first seven recommendations are the same as those from the Third International Consultation for Sexual Medicine and the last three are new recommendations. Conclusion PDE5 inhibitors remain a first-line treatment option because of their excellent efficacy and safety profi…","author":[{"dropping-particle":"","family":"Hatzimouratidis","given":"Konstantinos","non-dropping-particle":"","parse-names":false,"suffix":""},{"dropping-particle":"","family":"Salonia","given":"Andrea","non-dropping-particle":"","parse-names":false,"suffix":""},{"dropping-particle":"","family":"Adaikan","given":"Ganesan","non-dropping-particle":"","parse-names":false,"suffix":""},{"dropping-particle":"","family":"Buvat","given":"Jacques","non-dropping-particle":"","parse-names":false,"suffix":""},{"dropping-particle":"","family":"Carrier","given":"Serge","non-dropping-particle":"","parse-names":false,"suffix":""},{"dropping-particle":"","family":"El-Meliegy","given":"Amr","non-dropping-particle":"","parse-names":false,"suffix":""},{"dropping-particle":"","family":"McCullough","given":"Andrew","non-dropping-particle":"","parse-names":false,"suffix":""},{"dropping-particle":"","family":"Torres","given":"Luiz Otavio","non-dropping-particle":"","parse-names":false,"suffix":""},{"dropping-particle":"","family":"Khera","given":"Mohit","non-dropping-particle":"","parse-names":false,"suffix":""}],"container-title":"The journal of sexual medicine","id":"ITEM-1","issue":"4","issued":{"date-parts":[["2016","4","1"]]},"page":"465-488","publisher":"J Sex Med","title":"Pharmacotherapy for Erectile Dysfunction: Recommendations From the Fourth International Consultation for Sexual Medicine (ICSM 2015)","type":"article-journal","volume":"13"},"uris":["http://www.mendeley.com/documents/?uuid=b4db576f-7f51-340a-aa51-e16e76e8c35b"]}],"mendeley":{"formattedCitation":"[16]","plainTextFormattedCitation":"[16]","previouslyFormattedCitation":"[16]"},"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[16]</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{"citationItems":[{"id":"ITEM-1","itemData":{"DOI":"10.3109/02656736.2015.1092172","ISSN":"14645157","PMID":"26524223","abstract":"Purpose: Radiofrequency-based electrophysical agents are widely used in therapy-related clinical practice for their thermal effects, mainly relieving pain and inflammation and improving tissue extensibility. The most commonly used and researched are shortwave therapies that operate at 27.12 MHz. Although relatively new, electrophysical agents employing much lower frequencies have also emerged. Capacitive resistive monopolar radiofrequency employing 448 kHz is one such therapy. This laboratory-based study was aimed to investigate the skin thermal responses to 448 kHz radiofrequency-based therapy in healthy adults. Methods: In a two-group randomised crossover study, 15 volunteers attended two modes (capacitive and resistive) of 448 kHz radiofrequency-based therapy (using 'Indiba Activ 902') administered locally to the lower thigh region. Starting at minimum, the intensity was increased incrementally until thermal discomfort was felt. Participants reported three time points: thermal onset, definite thermal sensation, and onset of thermal discomfort. Local skin temperature was measured before, immediately post-treatment and up to 45 min posttreatment. Results: Both capacitive and resistive modes of therapy significantly increased the skin temperature and sustained it over the 45-min follow-up. There was statistically significant difference between the thermal response patterns produced by the two modes. Peak posttreatment temperatures attained were not significantly different between the two; however, the retention rate at follow-up was significantly higher for the resistive mode. Conclusions: This study confirms that radiofrequency-based therapy at 448 kHz can significantly increase and sustain skin temperature. The study also provides useful baseline data for further research in the low frequency ranges of radiofrequency-based therapy that remain largely unexplored.","author":[{"dropping-particle":"","family":"Kumaran","given":"Binoy","non-dropping-particle":"","parse-names":false,"suffix":""},{"dropping-particle":"","family":"Watson","given":"Tim","non-dropping-particle":"","parse-names":false,"suffix":""}],"container-title":"International Journal of Hyperthermia","id":"ITEM-1","issue":"8","issued":{"date-parts":[["2015","11","17"]]},"page":"883-895","publisher":"Taylor and Francis Ltd","title":"Thermal build-up, decay and retention responses to local therapeutic application of 448 kHz capacitive resistive monopolar radiofrequency: A prospective randomised crossover study in healthy adults","type":"article-journal","volume":"31"},"uris":["http://www.mendeley.com/documents/?uuid=c949d029-3b5c-3f0c-826d-fe882c357313"]}],"mendeley":{"formattedCitation":"[17]","plainTextFormattedCitation":"[17]","previouslyFormattedCitation":"[17]"},"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[17]</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{"citationItems":[{"id":"ITEM-1","itemData":{"DOI":"10.1002/PRI.460","ISSN":"13582267","PMID":"20186887","abstract":"Background and Purpose. The study aimed to investigate the thermal and non-thermal effects of pulsed short wave therapy (PSWT) using high and low dose of PSWT together with placebo and control conditions in healthy subjects. Method. A single-blind, crossover design was employed with 31 subjects who all participated in three conditions: High PSWT (PD 200 μsec, PRR 800 Hz, MP 24 W, 10 minutes), Low PSWT (PD 100 μsec, PRR 200 Hz, MP 3 W, 10 minutes), and Placebo PSWT (PD 20 μsec, PRR 50 Hz, MP 0.05 W, 10 minutes). Fourteen subjects additionally participated in a Control condition (no treatment, 10 minutes). Measurements of skin temperature, blood flow, heart rate, and core temperature were taken before, during, and after the application of PSWT. Data were analyzed using a repeated measures analysis of variance (ANOVA) model with a Bonferroni post-hoc comparison. Results. A significant increase in blood volume and skin temperature with both the high- and low-dose applications during the treatment period was demonstrated. There were significant differences between time periods and between treated and untreated limbs compared with the control condition. The blood flow changes during the low-dose application were not significantly different from placebo. Some subjects were unable to detect significant changes in skin temperature. Conclusion. Significant physiological changes associated with the application of PSWT have been demonstrated, challenging the notion of a lack of effect of this therapy. The study also demonstrated a measurable increase in skin temperature, which was not associated with thermal sensory perception; thus, skin sensation may not be clinically reliable for detecting real changes in temperature. Subjects with a wide age range of ages were deliberately recruited; however, these results may not extrapolate to a patient population who could react differently to the same intervention. Further studies in the clinical environment are therefore needed. Copyright © 2010 John Wiley &amp; Sons, Ltd.","author":[{"dropping-particle":"","family":"Al-Mandeel","given":"Maryam M.","non-dropping-particle":"","parse-names":false,"suffix":""},{"dropping-particle":"","family":"Watson","given":"Tim","non-dropping-particle":"","parse-names":false,"suffix":""}],"container-title":"Physiotherapy Research International","id":"ITEM-1","issue":"4","issued":{"date-parts":[["2010","12"]]},"page":"199-211","title":"The thermal and nonthermal effects of high and low doses of pulsed short wave therapy (PSWT)","type":"article-journal","volume":"15"},"uris":["http://www.mendeley.com/documents/?uuid=e8200eeb-91e2-3da9-b768-fec9ff3aed87"]}],"mendeley":{"formattedCitation":"[18]","plainTextFormattedCitation":"[18]","previouslyFormattedCitation":"[18]"},"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[18]</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361CEB" w:rsidRPr="008849FA" w:rsidRDefault="00361CEB"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Несмотря на существующие линии терапии ЭД, наблюдается ряд пациентов с органической эректильной дисфункцией, не отвечающих на приём таблетированных лекарственных препаратов или не приемлющих более инвазивные методы лечения ЭД. В связи с этим назрела необходимость поиска новых методов лечения ЭД у данной категории больных. </w:t>
      </w:r>
    </w:p>
    <w:p w:rsidR="00361CEB" w:rsidRPr="008849FA" w:rsidRDefault="00361CEB" w:rsidP="005146FA">
      <w:pPr>
        <w:pStyle w:val="dt2"/>
        <w:spacing w:before="0" w:beforeAutospacing="0" w:after="120" w:afterAutospacing="0" w:line="360" w:lineRule="auto"/>
        <w:ind w:left="-284" w:firstLine="284"/>
        <w:contextualSpacing/>
        <w:jc w:val="both"/>
        <w:rPr>
          <w:rFonts w:eastAsia="Times New Roman"/>
          <w:sz w:val="28"/>
          <w:szCs w:val="28"/>
        </w:rPr>
      </w:pPr>
      <w:r w:rsidRPr="008849FA">
        <w:rPr>
          <w:rFonts w:eastAsia="Times New Roman"/>
          <w:sz w:val="28"/>
          <w:szCs w:val="28"/>
        </w:rPr>
        <w:t xml:space="preserve">Аппараты для </w:t>
      </w:r>
      <w:proofErr w:type="spellStart"/>
      <w:r w:rsidRPr="008849FA">
        <w:rPr>
          <w:rFonts w:eastAsia="Times New Roman"/>
          <w:sz w:val="28"/>
          <w:szCs w:val="28"/>
        </w:rPr>
        <w:t>электрофизиотерапии</w:t>
      </w:r>
      <w:proofErr w:type="spellEnd"/>
      <w:r w:rsidRPr="008849FA">
        <w:rPr>
          <w:rFonts w:eastAsia="Times New Roman"/>
          <w:sz w:val="28"/>
          <w:szCs w:val="28"/>
        </w:rPr>
        <w:t xml:space="preserve">, работающие на радиочастотах, используются в медицинской практике уже много десятков лет (например: коротковолновая терапия). В рамках лабораторного исследования [20], изучались глубокие физиологические эффекты емкостной резистивной </w:t>
      </w:r>
      <w:proofErr w:type="spellStart"/>
      <w:r w:rsidRPr="008849FA">
        <w:rPr>
          <w:rFonts w:eastAsia="Times New Roman"/>
          <w:sz w:val="28"/>
          <w:szCs w:val="28"/>
        </w:rPr>
        <w:t>монополярной</w:t>
      </w:r>
      <w:proofErr w:type="spellEnd"/>
      <w:r w:rsidRPr="008849FA">
        <w:rPr>
          <w:rFonts w:eastAsia="Times New Roman"/>
          <w:sz w:val="28"/>
          <w:szCs w:val="28"/>
        </w:rPr>
        <w:t xml:space="preserve"> радиочастоты 448 кГц (сокращенно CRMRF, </w:t>
      </w:r>
      <w:proofErr w:type="spellStart"/>
      <w:r w:rsidRPr="008849FA">
        <w:rPr>
          <w:rFonts w:eastAsia="Times New Roman"/>
          <w:sz w:val="28"/>
          <w:szCs w:val="28"/>
        </w:rPr>
        <w:t>capacitive</w:t>
      </w:r>
      <w:proofErr w:type="spellEnd"/>
      <w:r w:rsidRPr="008849FA">
        <w:rPr>
          <w:rFonts w:eastAsia="Times New Roman"/>
          <w:sz w:val="28"/>
          <w:szCs w:val="28"/>
        </w:rPr>
        <w:t xml:space="preserve"> </w:t>
      </w:r>
      <w:proofErr w:type="spellStart"/>
      <w:r w:rsidRPr="008849FA">
        <w:rPr>
          <w:rFonts w:eastAsia="Times New Roman"/>
          <w:sz w:val="28"/>
          <w:szCs w:val="28"/>
        </w:rPr>
        <w:t>resistive</w:t>
      </w:r>
      <w:proofErr w:type="spellEnd"/>
      <w:r w:rsidRPr="008849FA">
        <w:rPr>
          <w:rFonts w:eastAsia="Times New Roman"/>
          <w:sz w:val="28"/>
          <w:szCs w:val="28"/>
        </w:rPr>
        <w:t xml:space="preserve"> </w:t>
      </w:r>
      <w:proofErr w:type="spellStart"/>
      <w:r w:rsidRPr="008849FA">
        <w:rPr>
          <w:rFonts w:eastAsia="Times New Roman"/>
          <w:sz w:val="28"/>
          <w:szCs w:val="28"/>
        </w:rPr>
        <w:t>monopolar</w:t>
      </w:r>
      <w:proofErr w:type="spellEnd"/>
      <w:r w:rsidRPr="008849FA">
        <w:rPr>
          <w:rFonts w:eastAsia="Times New Roman"/>
          <w:sz w:val="28"/>
          <w:szCs w:val="28"/>
        </w:rPr>
        <w:t xml:space="preserve"> </w:t>
      </w:r>
      <w:proofErr w:type="spellStart"/>
      <w:r w:rsidRPr="008849FA">
        <w:rPr>
          <w:rFonts w:eastAsia="Times New Roman"/>
          <w:sz w:val="28"/>
          <w:szCs w:val="28"/>
        </w:rPr>
        <w:t>radiofrequency</w:t>
      </w:r>
      <w:proofErr w:type="spellEnd"/>
      <w:r w:rsidRPr="008849FA">
        <w:rPr>
          <w:rFonts w:eastAsia="Times New Roman"/>
          <w:sz w:val="28"/>
          <w:szCs w:val="28"/>
        </w:rPr>
        <w:t xml:space="preserve">) и проводилось сравнение эффективности этой частоты по сравнению с коротковолновой терапией импульсного режима (сокращенно PSWT, </w:t>
      </w:r>
      <w:proofErr w:type="spellStart"/>
      <w:r w:rsidRPr="008849FA">
        <w:rPr>
          <w:rFonts w:eastAsia="Times New Roman"/>
          <w:sz w:val="28"/>
          <w:szCs w:val="28"/>
        </w:rPr>
        <w:t>pulsed</w:t>
      </w:r>
      <w:proofErr w:type="spellEnd"/>
      <w:r w:rsidRPr="008849FA">
        <w:rPr>
          <w:rFonts w:eastAsia="Times New Roman"/>
          <w:sz w:val="28"/>
          <w:szCs w:val="28"/>
        </w:rPr>
        <w:t xml:space="preserve"> </w:t>
      </w:r>
      <w:proofErr w:type="spellStart"/>
      <w:r w:rsidRPr="008849FA">
        <w:rPr>
          <w:rFonts w:eastAsia="Times New Roman"/>
          <w:sz w:val="28"/>
          <w:szCs w:val="28"/>
        </w:rPr>
        <w:t>shortwave</w:t>
      </w:r>
      <w:proofErr w:type="spellEnd"/>
      <w:r w:rsidRPr="008849FA">
        <w:rPr>
          <w:rFonts w:eastAsia="Times New Roman"/>
          <w:sz w:val="28"/>
          <w:szCs w:val="28"/>
        </w:rPr>
        <w:t xml:space="preserve"> </w:t>
      </w:r>
      <w:proofErr w:type="spellStart"/>
      <w:r w:rsidRPr="008849FA">
        <w:rPr>
          <w:rFonts w:eastAsia="Times New Roman"/>
          <w:sz w:val="28"/>
          <w:szCs w:val="28"/>
        </w:rPr>
        <w:t>therapy</w:t>
      </w:r>
      <w:proofErr w:type="spellEnd"/>
      <w:r w:rsidRPr="008849FA">
        <w:rPr>
          <w:rFonts w:eastAsia="Times New Roman"/>
          <w:sz w:val="28"/>
          <w:szCs w:val="28"/>
        </w:rPr>
        <w:t>).</w:t>
      </w:r>
    </w:p>
    <w:p w:rsidR="00361CEB" w:rsidRPr="008849FA" w:rsidRDefault="00361CEB"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Доказано что </w:t>
      </w:r>
      <w:proofErr w:type="spellStart"/>
      <w:r w:rsidRPr="008849FA">
        <w:rPr>
          <w:rFonts w:ascii="Times New Roman" w:hAnsi="Times New Roman" w:cs="Times New Roman"/>
          <w:sz w:val="28"/>
          <w:szCs w:val="28"/>
        </w:rPr>
        <w:t>электрофизиотерапия</w:t>
      </w:r>
      <w:proofErr w:type="spellEnd"/>
      <w:r w:rsidRPr="008849FA">
        <w:rPr>
          <w:rFonts w:ascii="Times New Roman" w:hAnsi="Times New Roman" w:cs="Times New Roman"/>
          <w:sz w:val="28"/>
          <w:szCs w:val="28"/>
        </w:rPr>
        <w:t xml:space="preserve"> позволяет уменьшить выраженность болевого синдрома и местного воспаления, ускорения восстановительных </w:t>
      </w:r>
      <w:r w:rsidRPr="008849FA">
        <w:rPr>
          <w:rFonts w:ascii="Times New Roman" w:hAnsi="Times New Roman" w:cs="Times New Roman"/>
          <w:sz w:val="28"/>
          <w:szCs w:val="28"/>
        </w:rPr>
        <w:lastRenderedPageBreak/>
        <w:t xml:space="preserve">процессов в тканях и общего повышения функциональности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{"citationItems":[{"id":"ITEM-1","itemData":{"DOI":"10.1002/PRI.460","ISSN":"13582267","PMID":"20186887","abstract":"Background and Purpose. The study aimed to investigate the thermal and non-thermal effects of pulsed short wave therapy (PSWT) using high and low dose of PSWT together with placebo and control conditions in healthy subjects. Method. A single-blind, crossover design was employed with 31 subjects who all participated in three conditions: High PSWT (PD 200 μsec, PRR 800 Hz, MP 24 W, 10 minutes), Low PSWT (PD 100 μsec, PRR 200 Hz, MP 3 W, 10 minutes), and Placebo PSWT (PD 20 μsec, PRR 50 Hz, MP 0.05 W, 10 minutes). Fourteen subjects additionally participated in a Control condition (no treatment, 10 minutes). Measurements of skin temperature, blood flow, heart rate, and core temperature were taken before, during, and after the application of PSWT. Data were analyzed using a repeated measures analysis of variance (ANOVA) model with a Bonferroni post-hoc comparison. Results. A significant increase in blood volume and skin temperature with both the high- and low-dose applications during the treatment period was demonstrated. There were significant differences between time periods and between treated and untreated limbs compared with the control condition. The blood flow changes during the low-dose application were not significantly different from placebo. Some subjects were unable to detect significant changes in skin temperature. Conclusion. Significant physiological changes associated with the application of PSWT have been demonstrated, challenging the notion of a lack of effect of this therapy. The study also demonstrated a measurable increase in skin temperature, which was not associated with thermal sensory perception; thus, skin sensation may not be clinically reliable for detecting real changes in temperature. Subjects with a wide age range of ages were deliberately recruited; however, these results may not extrapolate to a patient population who could react differently to the same intervention. Further studies in the clinical environment are therefore needed. Copyright © 2010 John Wiley &amp; Sons, Ltd.","author":[{"dropping-particle":"","family":"Al-Mandeel","given":"Maryam M.","non-dropping-particle":"","parse-names":false,"suffix":""},{"dropping-particle":"","family":"Watson","given":"Tim","non-dropping-particle":"","parse-names":false,"suffix":""}],"container-title":"Physiotherapy Research International","id":"ITEM-1","issue":"4","issued":{"date-parts":[["2010","12"]]},"page":"199-211","title":"The thermal and nonthermal effects of high and low doses of pulsed short wave therapy (PSWT)","type":"article-journal","volume":"15"},"uris":["http://www.mendeley.com/documents/?uuid=e8200eeb-91e2-3da9-b768-fec9ff3aed87"]}],"mendeley":{"formattedCitation":"[18]","plainTextFormattedCitation":"[18]","previouslyFormattedCitation":"[18]"},"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[18]</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Это объясняется изменением кровотока, мышечного тонуса и эластичности тканей, за счет индуцированной гипертермии тканей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10.1152/japplphysiol.00910.2011","ISSN":"87507587","PMID":"22566689","author":[{"dropping-particle":"","family":"Brengelmann","given":"George","non-dropping-particle":"","parse-names":false,"suffix":""}],"container-title":"Journal of Applied Physiology","id":"ITEM-1","issue":"4","issued":{"date-parts":[["2011"]]},"page":"1225","title":"Perspective in comparisons of skin versus muscle blood flow","type":"article-journal","volume":"111"},"uris":["http://www.mendeley.com/documents/?uuid=3705bf6b-9ac4-4cf5-80a2-19b1d1c6fe6a"]}],"mendeley":{"formattedCitation":"[19]","plainTextFormattedCitation":"[19]","previouslyFormattedCitation":"[19]"},"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[19]</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Однако, радиочастоты, используемые в физиотерапии, обычно ограничиваются 30 кГц–30 </w:t>
      </w:r>
      <w:proofErr w:type="spellStart"/>
      <w:r w:rsidRPr="008849FA">
        <w:rPr>
          <w:rFonts w:ascii="Times New Roman" w:hAnsi="Times New Roman" w:cs="Times New Roman"/>
          <w:sz w:val="28"/>
          <w:szCs w:val="28"/>
        </w:rPr>
        <w:t>мГц</w:t>
      </w:r>
      <w:proofErr w:type="spellEnd"/>
      <w:r w:rsidRPr="008849FA">
        <w:rPr>
          <w:rFonts w:ascii="Times New Roman" w:hAnsi="Times New Roman" w:cs="Times New Roman"/>
          <w:sz w:val="28"/>
          <w:szCs w:val="28"/>
        </w:rPr>
        <w:t xml:space="preserve">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{"citationItems":[{"id":"ITEM-1","itemData":{"DOI":"10.3109/02656736.2015.1092172","ISSN":"1464-5157","PMID":"26524223","abstract":"Purpose: Radiofrequency-based electrophysical agents are widely used in therapy-related clinical practice for their thermal effects, mainly relieving pain and inflammation and improving tissue extensibility. The most commonly used and researched are shortwave therapies that operate at 27.12 MHz. Although relatively new, electrophysical agents employing much lower frequencies have also emerged. Capacitive resistive monopolar radiofrequency employing 448 kHz is one such therapy. This laboratory-based study was aimed to investigate the skin thermal responses to 448 kHz radiofrequency-based therapy in healthy adults. Methods: In a two-group randomised crossover study, 15 volunteers attended two modes (capacitive and resistive) of 448 kHz radiofrequency-based therapy (using 'Indiba Activ 902') administered locally to the lower thigh region. Starting at minimum, the intensity was increased incrementally until thermal discomfort was felt. Participants reported three time points: thermal onset, definite thermal sensation, and onset of thermal discomfort. Local skin temperature was measured before, immediately post-treatment and up to 45 min posttreatment. Results: Both capacitive and resistive modes of therapy significantly increased the skin temperature and sustained it over the 45-min follow-up. There was statistically significant difference between the thermal response patterns produced by the two modes. Peak posttreatment temperatures attained were not significantly different between the two; however, the retention rate at follow-up was significantly higher for the resistive mode. Conclusions: This study confirms that radiofrequency-based therapy at 448 kHz can significantly increase and sustain skin temperature. The study also provides useful baseline data for further research in the low frequency ranges of radiofrequency-based therapy that remain largely unexplored.","author":[{"dropping-particle":"","family":"Kumaran","given":"Binoy","non-dropping-particle":"","parse-names":false,"suffix":""},{"dropping-particle":"","family":"Watson","given":"Tim","non-dropping-particle":"","parse-names":false,"suffix":""}],"container-title":"International journal of hyperthermia : the official journal of European Society for Hyperthermic Oncology, North American Hyperthermia Group","id":"ITEM-1","issue":"8","issued":{"date-parts":[["2015","11","17"]]},"page":"883-895","publisher":"Int J Hyperthermia","title":"Thermal build-up, decay and retention responses to local therapeutic application of 448 kHz capacitive resistive monopolar radiofrequency: A prospective randomised crossover study in healthy adults","type":"article-journal","volume":"31"},"uris":["http://www.mendeley.com/documents/?uuid=8f1acd60-2758-3dc8-9968-92b728699c78"]}],"mendeley":{"formattedCitation":"[15]","plainTextFormattedCitation":"[15]","previouslyFormattedCitation":"[15]"},"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[15]</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В этом диапазоне основным средством </w:t>
      </w:r>
      <w:proofErr w:type="spellStart"/>
      <w:r w:rsidRPr="008849FA">
        <w:rPr>
          <w:rFonts w:ascii="Times New Roman" w:hAnsi="Times New Roman" w:cs="Times New Roman"/>
          <w:sz w:val="28"/>
          <w:szCs w:val="28"/>
        </w:rPr>
        <w:t>электрофизиотерапии</w:t>
      </w:r>
      <w:proofErr w:type="spellEnd"/>
      <w:r w:rsidRPr="008849FA">
        <w:rPr>
          <w:rFonts w:ascii="Times New Roman" w:hAnsi="Times New Roman" w:cs="Times New Roman"/>
          <w:sz w:val="28"/>
          <w:szCs w:val="28"/>
        </w:rPr>
        <w:t xml:space="preserve"> является коротковолновая терапия </w:t>
      </w:r>
      <w:proofErr w:type="spellStart"/>
      <w:r w:rsidRPr="008849FA">
        <w:rPr>
          <w:rFonts w:ascii="Times New Roman" w:eastAsia="Times New Roman" w:hAnsi="Times New Roman" w:cs="Times New Roman"/>
          <w:sz w:val="28"/>
          <w:szCs w:val="28"/>
        </w:rPr>
        <w:t>shortwave</w:t>
      </w:r>
      <w:proofErr w:type="spellEnd"/>
      <w:r w:rsidRPr="008849FA">
        <w:rPr>
          <w:rFonts w:ascii="Times New Roman" w:eastAsia="Times New Roman" w:hAnsi="Times New Roman" w:cs="Times New Roman"/>
          <w:sz w:val="28"/>
          <w:szCs w:val="28"/>
        </w:rPr>
        <w:t xml:space="preserve"> </w:t>
      </w:r>
      <w:proofErr w:type="spellStart"/>
      <w:r w:rsidRPr="008849FA">
        <w:rPr>
          <w:rFonts w:ascii="Times New Roman" w:eastAsia="Times New Roman" w:hAnsi="Times New Roman" w:cs="Times New Roman"/>
          <w:sz w:val="28"/>
          <w:szCs w:val="28"/>
        </w:rPr>
        <w:t>therapy</w:t>
      </w:r>
      <w:proofErr w:type="spellEnd"/>
      <w:r w:rsidRPr="008849FA">
        <w:rPr>
          <w:rFonts w:ascii="Times New Roman" w:hAnsi="Times New Roman" w:cs="Times New Roman"/>
          <w:sz w:val="28"/>
          <w:szCs w:val="28"/>
        </w:rPr>
        <w:t xml:space="preserve"> (SWT), использующая частоту 27,12 </w:t>
      </w:r>
      <w:proofErr w:type="spellStart"/>
      <w:r w:rsidRPr="008849FA">
        <w:rPr>
          <w:rFonts w:ascii="Times New Roman" w:hAnsi="Times New Roman" w:cs="Times New Roman"/>
          <w:sz w:val="28"/>
          <w:szCs w:val="28"/>
        </w:rPr>
        <w:t>мГц</w:t>
      </w:r>
      <w:proofErr w:type="spellEnd"/>
      <w:r w:rsidRPr="008849FA">
        <w:rPr>
          <w:rFonts w:ascii="Times New Roman" w:hAnsi="Times New Roman" w:cs="Times New Roman"/>
          <w:sz w:val="28"/>
          <w:szCs w:val="28"/>
        </w:rPr>
        <w:t xml:space="preserve"> в непрерывном или импульсном режиме, данный вид воздействия является наиболее изученным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{"citationItems":[{"id":"ITEM-1","itemData":{"DOI":"10.1539/joh.13-0196-RA","ISSN":"13489585","PMID":"25069893","abstract":"Objectives: To review empirical research on adverse health and pregnancy outcomes associated with physiotherapists' occupational exposure to radiofrequency electromagnetic fields (RF EMFs) from shortwave (SWD) and microwave (MWD) diathermy devices. Methods: A systematic review of peer reviewed literature published from 1990 to 2010 in the English language searched in eight online bibliographic databases: CINAHL, EBSCOhost, ISI Web of Knowledge, Medline, OSH UPDATE, PubMed Central, ScienceDirect, and Scopus. Results: Findings suggest that physiotherapists' occupational exposure to SWD was statistically significantly associated with delayed time to pregnancy (&gt;6 months), still birth, altered gender ratio (low ratio of boys to girls), congenital malformations and low birth weight (&lt;2,500 g) among physiotherapists' offspring. Physiotherapists' exposure to MWD was also found to be statistically significantly associated with spontaneous abortion. However, causal mechanisms for these statistical associations are unknown. The present systematic review has found these adverse reproductive outcomes and health effects associations with RF EMFs from therapeutic diathermy devices to be inconsistent. Conclusions: A number of studies did not find statistically significant results to replicate associations with such adverse outcomes, and therefore further research, preferably prospective studies of cohorts of physiotherapists, is warranted.","author":[{"dropping-particle":"","family":"Shah","given":"Syed Ghulam Sarwar","non-dropping-particle":"","parse-names":false,"suffix":""},{"dropping-particle":"","family":"Farrow","given":"Alexandra","non-dropping-particle":"","parse-names":false,"suffix":""}],"container-title":"Journal of Occupational Health","id":"ITEM-1","issue":"5","issued":{"date-parts":[["2014"]]},"page":"323-331","title":"Systematic literature review of adverse reproductive outcomes associated with physiotherapists' occupational exposures to non-ionising radiation","type":"article-journal","volume":"56"},"uris":["http://www.mendeley.com/documents/?uuid=4029de07-14ec-4220-8793-a05fae92022d"]}],"mendeley":{"formattedCitation":"[20]","plainTextFormattedCitation":"[20]","previouslyFormattedCitation":"[20]"},"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[20]</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w:t>
      </w:r>
    </w:p>
    <w:p w:rsidR="00361CEB" w:rsidRPr="008849FA" w:rsidRDefault="00361CEB"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CRMRF отличается от SWT, рабочей частотой, которая гораздо меньше, чем у коротковолновой терапии. Поэтому CRMRF не может воздействовать на ткани через воздушную прослойку (как </w:t>
      </w:r>
      <w:r w:rsidRPr="008849FA">
        <w:rPr>
          <w:rFonts w:ascii="Times New Roman" w:hAnsi="Times New Roman" w:cs="Times New Roman"/>
          <w:sz w:val="28"/>
          <w:szCs w:val="28"/>
          <w:lang w:val="en-US"/>
        </w:rPr>
        <w:t>SWT</w:t>
      </w:r>
      <w:r w:rsidRPr="008849FA">
        <w:rPr>
          <w:rFonts w:ascii="Times New Roman" w:hAnsi="Times New Roman" w:cs="Times New Roman"/>
          <w:sz w:val="28"/>
          <w:szCs w:val="28"/>
        </w:rPr>
        <w:t xml:space="preserve"> терапия). Невозможность передачи CRMRF через воздух, не является ограничением, а напротив уменьшает рассеивание волн, увеличивая эффективность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{"citationItems":[{"id":"ITEM-1","itemData":{"DOI":"10.1080/15459624.2013.782203","ISSN":"15459624","PMID":"23570423","abstract":"We reviewed studies reporting the strength of radiofrequency (RF) electromagnetic fields (EMF) in physiotherapists' occupational environment. Studies from academic journals published from January 1990 to June 2010 were identified in nine online bibliographic databases. EMF strength was compared with occupational exposure limits (OELs) recommended by the International Commission on Non-Ionizing Radiation Protection (ICNIRP). In the reviewed studies, EMFs were measured at different distances (range 0.2 m to 6 m) from the console of diathermy devices, electrodes, and cables. For continuous shortwave diathermy (CSWD) (27.12 megahertz, MHz), measurements of EMFs at &lt; 1 m, 1 m, 1.1-1.5 m, and 2 m reported the maximum E field strength as 8197%, 1639%, 295%, and 69%, respectively, and themaximumHfield strength as 6250%, 681%, 213%, and 56%, respectively, of the ICNIRP limits for E andHfields for occupational exposure. For pulsed shortwave diathermy (PSWD) (27.12 MHz), EMF measurements at &lt; 1 m, 1 m, and, 1.1-1.5 m showed the maximum E field intensity as 1639%, 175%, and 32%, and the maximum H field strength as 1175%, 968%, and 28%, respectively, of the ICNIRP limits for E and H fields for occupational exposure. For microwave diathermy (MWD) (2.45 gigahertz, GHz), the maximum power density measured at &lt; 1 m, 1 m, 1.1-1.5 m, and 2 m was 200%, &lt;30%, 0.76%, and 0.82%, respectively, of the ICNIRP limit for occupational exposure. RF EMF emissions measured from continuous and pulsed electrotherapeutic diathermy devices may well be higher than OELs at specific distances, i.e., at 1 m, which is currently designated to be a safe distance for physiotherapists. The minimum safe distance for physiotherapists should be revised to at least 2 m for CSWD and 1.5 m for PSWD. The reviewed studies did not provide evidence of exceeding the ICNIRP's reference levels for occupational exposure at 1 m from MWD devices. Copyright © 2013 JOEH, LLC.","author":[{"dropping-particle":"","family":"Shah","given":"Syed Ghulam Sarwar","non-dropping-particle":"","parse-names":false,"suffix":""},{"dropping-particle":"","family":"Farrow","given":"Alexandra","non-dropping-particle":"","parse-names":false,"suffix":""}],"container-title":"Journal of Occupational and Environmental Hygiene","id":"ITEM-1","issue":"6","issued":{"date-parts":[["2013"]]},"page":"312-327","title":"Assessment of physiotherapists' occupational exposure to radiofrequency electromagnetic fields from shortwave and microwave diathermy devices: A literature review","type":"article-journal","volume":"10"},"uris":["http://www.mendeley.com/documents/?uuid=a755aaef-46da-4a2d-851d-c59a58d1f90f"]}],"mendeley":{"formattedCitation":"[21]","plainTextFormattedCitation":"[21]","previouslyFormattedCitation":"[21]"},"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[21]</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Тогда как в </w:t>
      </w:r>
      <w:r w:rsidRPr="008849FA">
        <w:rPr>
          <w:rFonts w:ascii="Times New Roman" w:hAnsi="Times New Roman" w:cs="Times New Roman"/>
          <w:sz w:val="28"/>
          <w:szCs w:val="28"/>
          <w:lang w:val="en-US"/>
        </w:rPr>
        <w:t>SWT</w:t>
      </w:r>
      <w:r w:rsidRPr="008849FA">
        <w:rPr>
          <w:rFonts w:ascii="Times New Roman" w:hAnsi="Times New Roman" w:cs="Times New Roman"/>
          <w:sz w:val="28"/>
          <w:szCs w:val="28"/>
        </w:rPr>
        <w:t xml:space="preserve"> часть энергии теряется путем рассеивания, в результате чего обеспечить концентрированное воздействие на нужную зону становится сложнее. </w:t>
      </w:r>
    </w:p>
    <w:p w:rsidR="00361CEB" w:rsidRPr="008849FA" w:rsidRDefault="00361CEB"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CRMRF длительно применяется в рамках физиотерапии для ускорения регенерации травматических и дегенеративных поражений ткани, а также в эстетической медицине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{"citationItems":[{"id":"ITEM-1","itemData":{"DOI":"10.3109/15368378.2013.776335","ISSN":"15368378","PMID":"23675615","abstract":"Nonthermal pulsed electromagnetic fields, from low frequency to pulse-modulated radio frequency, have been successfully employed as adjunctive therapy for the treatment of delayed and non-union fractures, fresh fractures and chronic wounds. Recent increased understanding of the mechanism of action of electromagnetic fields (EMF) has permitted technologic advances allowing the development of EMF devices which are portable and disposable, can be incorporated into dressings, supports and casts, and can be used over clothing. This broadens the use of non-pharmacological, non-invasive EMF therapy to the treatment of postoperative pain and edema to enhance surgical recovery. EMF therapy is rapidly becoming a standard part of surgical care, and new, more significant, clinical applications for osteoarthritis, brain and cardiac ischemia and traumatic brain injury are in the pipeline. This study reviews recent evidence which suggests that calmodulin (CaM)-dependent nitric oxide signaling is involved in cell and tissue response to weak nonthermal EMF signals. There is abundant evidence that EMF signals can be configured a priori to increase the rate of CaM activation, which, in turn, can modulate the biochemical cascades living cells and tissues employ in response to external insult. Successful applications in pilot clinical trials, coupled with evidence at the cellular and animal levels, provide support that EMF is a first messenger that can modulate the response of challenged biological systems. © Informa UK Ltd.","author":[{"dropping-particle":"","family":"Pilla","given":"Arthur A.","non-dropping-particle":"","parse-names":false,"suffix":""}],"container-title":"Electromagnetic Biology and Medicine","id":"ITEM-1","issue":"2","issued":{"date-parts":[["2013"]]},"page":"123-136","title":"Nonthermal electromagnetic fields: From first messenger to therapeutic applications","type":"article-journal","volume":"32"},"uris":["http://www.mendeley.com/documents/?uuid=81d1225a-c694-4cf2-9866-0d1df22acc57"]}],"mendeley":{"formattedCitation":"[22]","plainTextFormattedCitation":"[22]","previouslyFormattedCitation":"[22]"},"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[22]</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Среди методов электростимуляции обращает на себя внимание емкостная-резистивная электротерапия – неинвазивный </w:t>
      </w:r>
      <w:proofErr w:type="spellStart"/>
      <w:r w:rsidRPr="008849FA">
        <w:rPr>
          <w:rFonts w:ascii="Times New Roman" w:hAnsi="Times New Roman" w:cs="Times New Roman"/>
          <w:sz w:val="28"/>
          <w:szCs w:val="28"/>
        </w:rPr>
        <w:t>электротемпературный</w:t>
      </w:r>
      <w:proofErr w:type="spellEnd"/>
      <w:r w:rsidRPr="008849FA">
        <w:rPr>
          <w:rFonts w:ascii="Times New Roman" w:hAnsi="Times New Roman" w:cs="Times New Roman"/>
          <w:sz w:val="28"/>
          <w:szCs w:val="28"/>
        </w:rPr>
        <w:t xml:space="preserve"> метод, основанный на применении электрических токов с радиочастотой 400 кГц-450 кГц. Недавние результаты исследований полученные </w:t>
      </w:r>
      <w:proofErr w:type="spellStart"/>
      <w:r w:rsidRPr="008849FA">
        <w:rPr>
          <w:rFonts w:ascii="Times New Roman" w:hAnsi="Times New Roman" w:cs="Times New Roman"/>
          <w:i/>
          <w:iCs/>
          <w:sz w:val="28"/>
          <w:szCs w:val="28"/>
        </w:rPr>
        <w:t>in</w:t>
      </w:r>
      <w:proofErr w:type="spellEnd"/>
      <w:r w:rsidRPr="008849FA">
        <w:rPr>
          <w:rFonts w:ascii="Times New Roman" w:hAnsi="Times New Roman" w:cs="Times New Roman"/>
          <w:i/>
          <w:iCs/>
          <w:sz w:val="28"/>
          <w:szCs w:val="28"/>
        </w:rPr>
        <w:t xml:space="preserve"> </w:t>
      </w:r>
      <w:proofErr w:type="spellStart"/>
      <w:r w:rsidRPr="008849FA">
        <w:rPr>
          <w:rFonts w:ascii="Times New Roman" w:hAnsi="Times New Roman" w:cs="Times New Roman"/>
          <w:i/>
          <w:iCs/>
          <w:sz w:val="28"/>
          <w:szCs w:val="28"/>
        </w:rPr>
        <w:t>vitro</w:t>
      </w:r>
      <w:proofErr w:type="spellEnd"/>
      <w:r w:rsidRPr="008849FA">
        <w:rPr>
          <w:rFonts w:ascii="Times New Roman" w:hAnsi="Times New Roman" w:cs="Times New Roman"/>
          <w:sz w:val="28"/>
          <w:szCs w:val="28"/>
        </w:rPr>
        <w:t xml:space="preserve">, указывают на то, что на клеточном уровне влияние емкостной резистивной электротерапии не ограничивается термальным эффектом: в </w:t>
      </w:r>
      <w:proofErr w:type="spellStart"/>
      <w:r w:rsidRPr="008849FA">
        <w:rPr>
          <w:rFonts w:ascii="Times New Roman" w:hAnsi="Times New Roman" w:cs="Times New Roman"/>
          <w:sz w:val="28"/>
          <w:szCs w:val="28"/>
        </w:rPr>
        <w:t>субтермальных</w:t>
      </w:r>
      <w:proofErr w:type="spellEnd"/>
      <w:r w:rsidRPr="008849FA">
        <w:rPr>
          <w:rFonts w:ascii="Times New Roman" w:hAnsi="Times New Roman" w:cs="Times New Roman"/>
          <w:sz w:val="28"/>
          <w:szCs w:val="28"/>
        </w:rPr>
        <w:t xml:space="preserve"> дозах электрическая стимуляция оказывает влияние на пролиферативную активность клеток (доказано в рамках работы на культурах </w:t>
      </w:r>
      <w:proofErr w:type="spellStart"/>
      <w:r w:rsidRPr="008849FA">
        <w:rPr>
          <w:rFonts w:ascii="Times New Roman" w:hAnsi="Times New Roman" w:cs="Times New Roman"/>
          <w:sz w:val="28"/>
          <w:szCs w:val="28"/>
        </w:rPr>
        <w:t>мононуклеарных</w:t>
      </w:r>
      <w:proofErr w:type="spellEnd"/>
      <w:r w:rsidRPr="008849FA">
        <w:rPr>
          <w:rFonts w:ascii="Times New Roman" w:hAnsi="Times New Roman" w:cs="Times New Roman"/>
          <w:sz w:val="28"/>
          <w:szCs w:val="28"/>
        </w:rPr>
        <w:t xml:space="preserve"> клеток человеческой крови)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{"citationItems":[{"id":"ITEM-1","itemData":{"DOI":"10.3892/mmr.2016.5032","ISSN":"17913004","PMID":"27035334","abstract":"The 448 kHz capacitive-resistive electric transfer (CRET) is an electrothermal therapy currently applied in anticellulite and antiobesity treatments. The aim of the present study was to determine whether exposure to the CRET electric signal at subthermal doses affected early adipogenic processes in adipose-derived stem cells (ADSC) from human donors. ADSC were incubated for 2 or 9 days in the presence of adipogenic medium, and exposed or sham-exposed to 5 min pulses of 448 kHz electric signal at 50 μA/mm2 during the last 48 h of the incubation. Colorimetric, immunofluorescence, western blotting and reverse transcription-quantitative polymerase chain reaction assays were performed to assess adipogenic differentiation of the ADSC. Electric stimulation significantly decreased cytoplasmic lipid content, after both 2 and 9 days of differentiation. The antiadipogenic response in the 9 day samples was accompanied by activation of mitogen-activated protein kinase kinase 1/2, decreased expression and partial inactivation of peroxisome proliferator-activated receptor (PPAR) γ, which was translocated from the nucleus to the cytoplasm, together with a significant decrease in the expression levels of the PPARG1 gene, perilipin, angiopoietin-like protein 4 and fatty acid synthase. These results demonstrated that subthermal stimulation with CRET interferes with the early adipogenic differentiation in ADSC, indicating that the electric stimulus itself can modulate processes controlling the synthesis and mobilization of fat, even in the absence of the concomitant thermal and mechanical components of the thermoelectric therapy CRET.","author":[{"dropping-particle":"","family":"Hernández-Bule","given":"María Luisa","non-dropping-particle":"","parse-names":false,"suffix":""},{"dropping-particle":"","family":"Martínez-Botas","given":"Javier","non-dropping-particle":"","parse-names":false,"suffix":""},{"dropping-particle":"","family":"Trillo","given":"María Ángeles","non-dropping-particle":"","parse-names":false,"suffix":""},{"dropping-particle":"","family":"Paíno","given":"Carlos L.","non-dropping-particle":"","parse-names":false,"suffix":""},{"dropping-particle":"","family":"Úbeda","given":"Alejandro","non-dropping-particle":"","parse-names":false,"suffix":""}],"container-title":"Molecular Medicine Reports","id":"ITEM-1","issue":"5","issued":{"date-parts":[["2016"]]},"page":"3895-3903","title":"Antiadipogenic effects of subthermal electric stimulation at 448 kHz on differentiating human mesenchymal stem cells","type":"article-journal","volume":"13"},"uris":["http://www.mendeley.com/documents/?uuid=14288c26-d535-42c8-8b8e-6fa8f1ba4dce"]}],"mendeley":{"formattedCitation":"[23]","plainTextFormattedCitation":"[23]","previouslyFormattedCitation":"[23]"},"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[23]</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 xml:space="preserve">, </w:t>
      </w:r>
      <w:r w:rsidRPr="008849FA">
        <w:rPr>
          <w:rFonts w:ascii="Times New Roman" w:hAnsi="Times New Roman" w:cs="Times New Roman"/>
          <w:sz w:val="28"/>
          <w:szCs w:val="28"/>
          <w:lang w:val="en-US"/>
        </w:rPr>
        <w:fldChar w:fldCharType="begin" w:fldLock="1"/>
      </w:r>
      <w:r w:rsidRPr="008849FA">
        <w:rPr>
          <w:rFonts w:ascii="Times New Roman" w:hAnsi="Times New Roman" w:cs="Times New Roman"/>
          <w:sz w:val="28"/>
          <w:szCs w:val="28"/>
          <w:lang w:val="en-US"/>
        </w:rPr>
        <w:instrText>ADDIN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CSL</w:instrText>
      </w:r>
      <w:r w:rsidRPr="008849FA">
        <w:rPr>
          <w:rFonts w:ascii="Times New Roman" w:hAnsi="Times New Roman" w:cs="Times New Roman"/>
          <w:sz w:val="28"/>
          <w:szCs w:val="28"/>
        </w:rPr>
        <w:instrText>_</w:instrText>
      </w:r>
      <w:r w:rsidRPr="008849FA">
        <w:rPr>
          <w:rFonts w:ascii="Times New Roman" w:hAnsi="Times New Roman" w:cs="Times New Roman"/>
          <w:sz w:val="28"/>
          <w:szCs w:val="28"/>
          <w:lang w:val="en-US"/>
        </w:rPr>
        <w:instrText>CITATION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citationItems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id</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ITEM</w:instrText>
      </w:r>
      <w:r w:rsidRPr="008849FA">
        <w:rPr>
          <w:rFonts w:ascii="Times New Roman" w:hAnsi="Times New Roman" w:cs="Times New Roman"/>
          <w:sz w:val="28"/>
          <w:szCs w:val="28"/>
        </w:rPr>
        <w:instrText>-1","</w:instrText>
      </w:r>
      <w:r w:rsidRPr="008849FA">
        <w:rPr>
          <w:rFonts w:ascii="Times New Roman" w:hAnsi="Times New Roman" w:cs="Times New Roman"/>
          <w:sz w:val="28"/>
          <w:szCs w:val="28"/>
          <w:lang w:val="en-US"/>
        </w:rPr>
        <w:instrText>itemData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DOI</w:instrText>
      </w:r>
      <w:r w:rsidRPr="008849FA">
        <w:rPr>
          <w:rFonts w:ascii="Times New Roman" w:hAnsi="Times New Roman" w:cs="Times New Roman"/>
          <w:sz w:val="28"/>
          <w:szCs w:val="28"/>
        </w:rPr>
        <w:instrText>":"10.1371/</w:instrText>
      </w:r>
      <w:r w:rsidRPr="008849FA">
        <w:rPr>
          <w:rFonts w:ascii="Times New Roman" w:hAnsi="Times New Roman" w:cs="Times New Roman"/>
          <w:sz w:val="28"/>
          <w:szCs w:val="28"/>
          <w:lang w:val="en-US"/>
        </w:rPr>
        <w:instrText>journal</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pone</w:instrText>
      </w:r>
      <w:r w:rsidRPr="008849FA">
        <w:rPr>
          <w:rFonts w:ascii="Times New Roman" w:hAnsi="Times New Roman" w:cs="Times New Roman"/>
          <w:sz w:val="28"/>
          <w:szCs w:val="28"/>
        </w:rPr>
        <w:instrText>.0084636","</w:instrText>
      </w:r>
      <w:r w:rsidRPr="008849FA">
        <w:rPr>
          <w:rFonts w:ascii="Times New Roman" w:hAnsi="Times New Roman" w:cs="Times New Roman"/>
          <w:sz w:val="28"/>
          <w:szCs w:val="28"/>
          <w:lang w:val="en-US"/>
        </w:rPr>
        <w:instrText>ISSN</w:instrText>
      </w:r>
      <w:r w:rsidRPr="008849FA">
        <w:rPr>
          <w:rFonts w:ascii="Times New Roman" w:hAnsi="Times New Roman" w:cs="Times New Roman"/>
          <w:sz w:val="28"/>
          <w:szCs w:val="28"/>
        </w:rPr>
        <w:instrText>":"19326203","</w:instrText>
      </w:r>
      <w:r w:rsidRPr="008849FA">
        <w:rPr>
          <w:rFonts w:ascii="Times New Roman" w:hAnsi="Times New Roman" w:cs="Times New Roman"/>
          <w:sz w:val="28"/>
          <w:szCs w:val="28"/>
          <w:lang w:val="en-US"/>
        </w:rPr>
        <w:instrText>PMID</w:instrText>
      </w:r>
      <w:r w:rsidRPr="008849FA">
        <w:rPr>
          <w:rFonts w:ascii="Times New Roman" w:hAnsi="Times New Roman" w:cs="Times New Roman"/>
          <w:sz w:val="28"/>
          <w:szCs w:val="28"/>
        </w:rPr>
        <w:instrText>":"24416255","</w:instrText>
      </w:r>
      <w:r w:rsidRPr="008849FA">
        <w:rPr>
          <w:rFonts w:ascii="Times New Roman" w:hAnsi="Times New Roman" w:cs="Times New Roman"/>
          <w:sz w:val="28"/>
          <w:szCs w:val="28"/>
          <w:lang w:val="en-US"/>
        </w:rPr>
        <w:instrText>abstract</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Capacitive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Resistive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Electric</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Transfer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CRET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therapy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applies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currents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0.4-0.6 </w:instrText>
      </w:r>
      <w:r w:rsidRPr="008849FA">
        <w:rPr>
          <w:rFonts w:ascii="Times New Roman" w:hAnsi="Times New Roman" w:cs="Times New Roman"/>
          <w:sz w:val="28"/>
          <w:szCs w:val="28"/>
          <w:lang w:val="en-US"/>
        </w:rPr>
        <w:instrText>MHz</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treatment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inflammatory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musculoskeletal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injuries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Previous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studies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have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shown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intermittent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exposure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CRET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currents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subthermal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doses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exert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cytotoxic</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antiproliferative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effects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human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neuroblastoma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hepatocarcinoma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respectively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has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been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proposed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such</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effects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would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mediated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cycle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arrest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changes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expression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cyclins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cyclin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dependent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kinase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inhibitors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present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work</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focuses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study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molecular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mechanisms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involved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CRET</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induced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cytostasis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investigates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possibility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cellular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response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treatment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extends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other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phenomena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including</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induction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apoptosis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or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changes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differentiation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stage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hepatocarcinoma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obtained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results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show</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reported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antiproliferative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action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intermittent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stimulation</w:instrText>
      </w:r>
      <w:r w:rsidRPr="008849FA">
        <w:rPr>
          <w:rFonts w:ascii="Times New Roman" w:hAnsi="Times New Roman" w:cs="Times New Roman"/>
          <w:sz w:val="28"/>
          <w:szCs w:val="28"/>
        </w:rPr>
        <w:instrText xml:space="preserve"> (5 </w:instrText>
      </w:r>
      <w:r w:rsidRPr="008849FA">
        <w:rPr>
          <w:rFonts w:ascii="Times New Roman" w:hAnsi="Times New Roman" w:cs="Times New Roman"/>
          <w:sz w:val="28"/>
          <w:szCs w:val="28"/>
          <w:lang w:val="en-US"/>
        </w:rPr>
        <w:instrText>m</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On</w:instrText>
      </w:r>
      <w:r w:rsidRPr="008849FA">
        <w:rPr>
          <w:rFonts w:ascii="Times New Roman" w:hAnsi="Times New Roman" w:cs="Times New Roman"/>
          <w:sz w:val="28"/>
          <w:szCs w:val="28"/>
        </w:rPr>
        <w:instrText xml:space="preserve">/4 </w:instrText>
      </w:r>
      <w:r w:rsidRPr="008849FA">
        <w:rPr>
          <w:rFonts w:ascii="Times New Roman" w:hAnsi="Times New Roman" w:cs="Times New Roman"/>
          <w:sz w:val="28"/>
          <w:szCs w:val="28"/>
          <w:lang w:val="en-US"/>
        </w:rPr>
        <w:instrText>h</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with</w:instrText>
      </w:r>
      <w:r w:rsidRPr="008849FA">
        <w:rPr>
          <w:rFonts w:ascii="Times New Roman" w:hAnsi="Times New Roman" w:cs="Times New Roman"/>
          <w:sz w:val="28"/>
          <w:szCs w:val="28"/>
        </w:rPr>
        <w:instrText xml:space="preserve"> 0.57 </w:instrText>
      </w:r>
      <w:r w:rsidRPr="008849FA">
        <w:rPr>
          <w:rFonts w:ascii="Times New Roman" w:hAnsi="Times New Roman" w:cs="Times New Roman"/>
          <w:sz w:val="28"/>
          <w:szCs w:val="28"/>
          <w:lang w:val="en-US"/>
        </w:rPr>
        <w:instrText>MHz</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sine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wave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signal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current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density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50 </w:instrText>
      </w:r>
      <w:r w:rsidRPr="008849FA">
        <w:rPr>
          <w:rFonts w:ascii="Times New Roman" w:hAnsi="Times New Roman" w:cs="Times New Roman"/>
          <w:sz w:val="28"/>
          <w:szCs w:val="28"/>
          <w:lang w:val="en-US"/>
        </w:rPr>
        <w:instrText>μA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mm</w:instrText>
      </w:r>
      <w:r w:rsidRPr="008849FA">
        <w:rPr>
          <w:rFonts w:ascii="Times New Roman" w:hAnsi="Times New Roman" w:cs="Times New Roman"/>
          <w:sz w:val="28"/>
          <w:szCs w:val="28"/>
        </w:rPr>
        <w:instrText xml:space="preserve"> 2, </w:instrText>
      </w:r>
      <w:r w:rsidRPr="008849FA">
        <w:rPr>
          <w:rFonts w:ascii="Times New Roman" w:hAnsi="Times New Roman" w:cs="Times New Roman"/>
          <w:sz w:val="28"/>
          <w:szCs w:val="28"/>
          <w:lang w:val="en-US"/>
        </w:rPr>
        <w:instrText>could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mediated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significant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increase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apoptotic</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rate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well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significant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changes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expression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proteins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w:instrText>
      </w:r>
      <w:r w:rsidRPr="008849FA">
        <w:rPr>
          <w:rFonts w:ascii="Times New Roman" w:hAnsi="Times New Roman" w:cs="Times New Roman"/>
          <w:sz w:val="28"/>
          <w:szCs w:val="28"/>
        </w:rPr>
        <w:instrText xml:space="preserve">53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Bcl</w:instrText>
      </w:r>
      <w:r w:rsidRPr="008849FA">
        <w:rPr>
          <w:rFonts w:ascii="Times New Roman" w:hAnsi="Times New Roman" w:cs="Times New Roman"/>
          <w:sz w:val="28"/>
          <w:szCs w:val="28"/>
        </w:rPr>
        <w:instrText xml:space="preserve">-2.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results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also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revealed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significantly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decreased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expression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alpha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fetoprotein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treated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samples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which</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together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with</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increased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concentration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albumin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released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into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medium</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stimulated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can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interpreted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evidence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transient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cytodifferentiating</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response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elicited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current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fact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that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this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type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electrical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stimulation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capable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promoting</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both</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differentiation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cycle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arrest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human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cancer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potential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interest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for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possible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extension</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applications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CRET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therapy</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towards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the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field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oncology</w:instrText>
      </w:r>
      <w:r w:rsidRPr="008849FA">
        <w:rPr>
          <w:rFonts w:ascii="Times New Roman" w:hAnsi="Times New Roman" w:cs="Times New Roman"/>
          <w:sz w:val="28"/>
          <w:szCs w:val="28"/>
        </w:rPr>
        <w:instrText xml:space="preserve">. © 2014 </w:instrText>
      </w:r>
      <w:r w:rsidRPr="008849FA">
        <w:rPr>
          <w:rFonts w:ascii="Times New Roman" w:hAnsi="Times New Roman" w:cs="Times New Roman"/>
          <w:sz w:val="28"/>
          <w:szCs w:val="28"/>
          <w:lang w:val="en-US"/>
        </w:rPr>
        <w:instrText>Hern</w:instrText>
      </w:r>
      <w:r w:rsidRPr="008849FA">
        <w:rPr>
          <w:rFonts w:ascii="Times New Roman" w:hAnsi="Times New Roman" w:cs="Times New Roman"/>
          <w:sz w:val="28"/>
          <w:szCs w:val="28"/>
        </w:rPr>
        <w:instrText>á</w:instrText>
      </w:r>
      <w:r w:rsidRPr="008849FA">
        <w:rPr>
          <w:rFonts w:ascii="Times New Roman" w:hAnsi="Times New Roman" w:cs="Times New Roman"/>
          <w:sz w:val="28"/>
          <w:szCs w:val="28"/>
          <w:lang w:val="en-US"/>
        </w:rPr>
        <w:instrText>ndez</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Bule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et</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al</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author</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dropping</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family</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Hern</w:instrText>
      </w:r>
      <w:r w:rsidRPr="008849FA">
        <w:rPr>
          <w:rFonts w:ascii="Times New Roman" w:hAnsi="Times New Roman" w:cs="Times New Roman"/>
          <w:sz w:val="28"/>
          <w:szCs w:val="28"/>
        </w:rPr>
        <w:instrText>á</w:instrText>
      </w:r>
      <w:r w:rsidRPr="008849FA">
        <w:rPr>
          <w:rFonts w:ascii="Times New Roman" w:hAnsi="Times New Roman" w:cs="Times New Roman"/>
          <w:sz w:val="28"/>
          <w:szCs w:val="28"/>
          <w:lang w:val="en-US"/>
        </w:rPr>
        <w:instrText>ndez</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Bule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given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Mar</w:instrText>
      </w:r>
      <w:r w:rsidRPr="008849FA">
        <w:rPr>
          <w:rFonts w:ascii="Times New Roman" w:hAnsi="Times New Roman" w:cs="Times New Roman"/>
          <w:sz w:val="28"/>
          <w:szCs w:val="28"/>
        </w:rPr>
        <w:instrText>í</w:instrText>
      </w:r>
      <w:r w:rsidRPr="008849FA">
        <w:rPr>
          <w:rFonts w:ascii="Times New Roman" w:hAnsi="Times New Roman" w:cs="Times New Roman"/>
          <w:sz w:val="28"/>
          <w:szCs w:val="28"/>
          <w:lang w:val="en-US"/>
        </w:rPr>
        <w:instrText>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Luisa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dropping</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parse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names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false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suffix</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dropping</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family</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Trillo</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given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Mar</w:instrText>
      </w:r>
      <w:r w:rsidRPr="008849FA">
        <w:rPr>
          <w:rFonts w:ascii="Times New Roman" w:hAnsi="Times New Roman" w:cs="Times New Roman"/>
          <w:sz w:val="28"/>
          <w:szCs w:val="28"/>
        </w:rPr>
        <w:instrText>í</w:instrText>
      </w:r>
      <w:r w:rsidRPr="008849FA">
        <w:rPr>
          <w:rFonts w:ascii="Times New Roman" w:hAnsi="Times New Roman" w:cs="Times New Roman"/>
          <w:sz w:val="28"/>
          <w:szCs w:val="28"/>
          <w:lang w:val="en-US"/>
        </w:rPr>
        <w:instrText>a</w:instrText>
      </w:r>
      <w:r w:rsidRPr="008849FA">
        <w:rPr>
          <w:rFonts w:ascii="Times New Roman" w:hAnsi="Times New Roman" w:cs="Times New Roman"/>
          <w:sz w:val="28"/>
          <w:szCs w:val="28"/>
        </w:rPr>
        <w:instrText xml:space="preserve"> Á</w:instrText>
      </w:r>
      <w:r w:rsidRPr="008849FA">
        <w:rPr>
          <w:rFonts w:ascii="Times New Roman" w:hAnsi="Times New Roman" w:cs="Times New Roman"/>
          <w:sz w:val="28"/>
          <w:szCs w:val="28"/>
          <w:lang w:val="en-US"/>
        </w:rPr>
        <w:instrText>ngeles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dropping</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parse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names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false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suffix</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dropping</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family</w:instrText>
      </w:r>
      <w:r w:rsidRPr="008849FA">
        <w:rPr>
          <w:rFonts w:ascii="Times New Roman" w:hAnsi="Times New Roman" w:cs="Times New Roman"/>
          <w:sz w:val="28"/>
          <w:szCs w:val="28"/>
        </w:rPr>
        <w:instrText>":"Ú</w:instrText>
      </w:r>
      <w:r w:rsidRPr="008849FA">
        <w:rPr>
          <w:rFonts w:ascii="Times New Roman" w:hAnsi="Times New Roman" w:cs="Times New Roman"/>
          <w:sz w:val="28"/>
          <w:szCs w:val="28"/>
          <w:lang w:val="en-US"/>
        </w:rPr>
        <w:instrText>beda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given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Alejandro</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dropping</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parse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names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false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suffix</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container</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title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PLoS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ONE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id</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ITEM</w:instrText>
      </w:r>
      <w:r w:rsidRPr="008849FA">
        <w:rPr>
          <w:rFonts w:ascii="Times New Roman" w:hAnsi="Times New Roman" w:cs="Times New Roman"/>
          <w:sz w:val="28"/>
          <w:szCs w:val="28"/>
        </w:rPr>
        <w:instrText>-1","</w:instrText>
      </w:r>
      <w:r w:rsidRPr="008849FA">
        <w:rPr>
          <w:rFonts w:ascii="Times New Roman" w:hAnsi="Times New Roman" w:cs="Times New Roman"/>
          <w:sz w:val="28"/>
          <w:szCs w:val="28"/>
          <w:lang w:val="en-US"/>
        </w:rPr>
        <w:instrText>issue</w:instrText>
      </w:r>
      <w:r w:rsidRPr="008849FA">
        <w:rPr>
          <w:rFonts w:ascii="Times New Roman" w:hAnsi="Times New Roman" w:cs="Times New Roman"/>
          <w:sz w:val="28"/>
          <w:szCs w:val="28"/>
        </w:rPr>
        <w:instrText>":"1","</w:instrText>
      </w:r>
      <w:r w:rsidRPr="008849FA">
        <w:rPr>
          <w:rFonts w:ascii="Times New Roman" w:hAnsi="Times New Roman" w:cs="Times New Roman"/>
          <w:sz w:val="28"/>
          <w:szCs w:val="28"/>
          <w:lang w:val="en-US"/>
        </w:rPr>
        <w:instrText>issued</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date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parts</w:instrText>
      </w:r>
      <w:r w:rsidRPr="008849FA">
        <w:rPr>
          <w:rFonts w:ascii="Times New Roman" w:hAnsi="Times New Roman" w:cs="Times New Roman"/>
          <w:sz w:val="28"/>
          <w:szCs w:val="28"/>
        </w:rPr>
        <w:instrText>":[["2014"]]},"</w:instrText>
      </w:r>
      <w:r w:rsidRPr="008849FA">
        <w:rPr>
          <w:rFonts w:ascii="Times New Roman" w:hAnsi="Times New Roman" w:cs="Times New Roman"/>
          <w:sz w:val="28"/>
          <w:szCs w:val="28"/>
          <w:lang w:val="en-US"/>
        </w:rPr>
        <w:instrText>title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Molecular</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mechanisms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underlying</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antiproliferative</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and</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differentiating</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responses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of</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hepatocarcinoma</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cells</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to</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subthermal</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electric</w:instrText>
      </w:r>
      <w:r w:rsidRPr="008849FA">
        <w:rPr>
          <w:rFonts w:ascii="Times New Roman" w:hAnsi="Times New Roman" w:cs="Times New Roman"/>
          <w:sz w:val="28"/>
          <w:szCs w:val="28"/>
        </w:rPr>
        <w:instrText xml:space="preserve"> </w:instrText>
      </w:r>
      <w:r w:rsidRPr="008849FA">
        <w:rPr>
          <w:rFonts w:ascii="Times New Roman" w:hAnsi="Times New Roman" w:cs="Times New Roman"/>
          <w:sz w:val="28"/>
          <w:szCs w:val="28"/>
          <w:lang w:val="en-US"/>
        </w:rPr>
        <w:instrText>stimulation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type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article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journal</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volume</w:instrText>
      </w:r>
      <w:r w:rsidRPr="008849FA">
        <w:rPr>
          <w:rFonts w:ascii="Times New Roman" w:hAnsi="Times New Roman" w:cs="Times New Roman"/>
          <w:sz w:val="28"/>
          <w:szCs w:val="28"/>
        </w:rPr>
        <w:instrText>":"9"},"</w:instrText>
      </w:r>
      <w:r w:rsidRPr="008849FA">
        <w:rPr>
          <w:rFonts w:ascii="Times New Roman" w:hAnsi="Times New Roman" w:cs="Times New Roman"/>
          <w:sz w:val="28"/>
          <w:szCs w:val="28"/>
          <w:lang w:val="en-US"/>
        </w:rPr>
        <w:instrText>uris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http</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www</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mendeley</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com</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documents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uuid</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deb</w:instrText>
      </w:r>
      <w:r w:rsidRPr="008849FA">
        <w:rPr>
          <w:rFonts w:ascii="Times New Roman" w:hAnsi="Times New Roman" w:cs="Times New Roman"/>
          <w:sz w:val="28"/>
          <w:szCs w:val="28"/>
        </w:rPr>
        <w:instrText>56</w:instrText>
      </w:r>
      <w:r w:rsidRPr="008849FA">
        <w:rPr>
          <w:rFonts w:ascii="Times New Roman" w:hAnsi="Times New Roman" w:cs="Times New Roman"/>
          <w:sz w:val="28"/>
          <w:szCs w:val="28"/>
          <w:lang w:val="en-US"/>
        </w:rPr>
        <w:instrText>b</w:instrText>
      </w:r>
      <w:r w:rsidRPr="008849FA">
        <w:rPr>
          <w:rFonts w:ascii="Times New Roman" w:hAnsi="Times New Roman" w:cs="Times New Roman"/>
          <w:sz w:val="28"/>
          <w:szCs w:val="28"/>
        </w:rPr>
        <w:instrText>77-5279-42</w:instrText>
      </w:r>
      <w:r w:rsidRPr="008849FA">
        <w:rPr>
          <w:rFonts w:ascii="Times New Roman" w:hAnsi="Times New Roman" w:cs="Times New Roman"/>
          <w:sz w:val="28"/>
          <w:szCs w:val="28"/>
          <w:lang w:val="en-US"/>
        </w:rPr>
        <w:instrText>d</w:instrText>
      </w:r>
      <w:r w:rsidRPr="008849FA">
        <w:rPr>
          <w:rFonts w:ascii="Times New Roman" w:hAnsi="Times New Roman" w:cs="Times New Roman"/>
          <w:sz w:val="28"/>
          <w:szCs w:val="28"/>
        </w:rPr>
        <w:instrText>1-9</w:instrText>
      </w:r>
      <w:r w:rsidRPr="008849FA">
        <w:rPr>
          <w:rFonts w:ascii="Times New Roman" w:hAnsi="Times New Roman" w:cs="Times New Roman"/>
          <w:sz w:val="28"/>
          <w:szCs w:val="28"/>
          <w:lang w:val="en-US"/>
        </w:rPr>
        <w:instrText>d</w:instrText>
      </w:r>
      <w:r w:rsidRPr="008849FA">
        <w:rPr>
          <w:rFonts w:ascii="Times New Roman" w:hAnsi="Times New Roman" w:cs="Times New Roman"/>
          <w:sz w:val="28"/>
          <w:szCs w:val="28"/>
        </w:rPr>
        <w:instrText>19-</w:instrText>
      </w:r>
      <w:r w:rsidRPr="008849FA">
        <w:rPr>
          <w:rFonts w:ascii="Times New Roman" w:hAnsi="Times New Roman" w:cs="Times New Roman"/>
          <w:sz w:val="28"/>
          <w:szCs w:val="28"/>
          <w:lang w:val="en-US"/>
        </w:rPr>
        <w:instrText>c</w:instrText>
      </w:r>
      <w:r w:rsidRPr="008849FA">
        <w:rPr>
          <w:rFonts w:ascii="Times New Roman" w:hAnsi="Times New Roman" w:cs="Times New Roman"/>
          <w:sz w:val="28"/>
          <w:szCs w:val="28"/>
        </w:rPr>
        <w:instrText>0392</w:instrText>
      </w:r>
      <w:r w:rsidRPr="008849FA">
        <w:rPr>
          <w:rFonts w:ascii="Times New Roman" w:hAnsi="Times New Roman" w:cs="Times New Roman"/>
          <w:sz w:val="28"/>
          <w:szCs w:val="28"/>
          <w:lang w:val="en-US"/>
        </w:rPr>
        <w:instrText>b</w:instrText>
      </w:r>
      <w:r w:rsidRPr="008849FA">
        <w:rPr>
          <w:rFonts w:ascii="Times New Roman" w:hAnsi="Times New Roman" w:cs="Times New Roman"/>
          <w:sz w:val="28"/>
          <w:szCs w:val="28"/>
        </w:rPr>
        <w:instrText>8242</w:instrText>
      </w:r>
      <w:r w:rsidRPr="008849FA">
        <w:rPr>
          <w:rFonts w:ascii="Times New Roman" w:hAnsi="Times New Roman" w:cs="Times New Roman"/>
          <w:sz w:val="28"/>
          <w:szCs w:val="28"/>
          <w:lang w:val="en-US"/>
        </w:rPr>
        <w:instrText>e</w:instrText>
      </w:r>
      <w:r w:rsidRPr="008849FA">
        <w:rPr>
          <w:rFonts w:ascii="Times New Roman" w:hAnsi="Times New Roman" w:cs="Times New Roman"/>
          <w:sz w:val="28"/>
          <w:szCs w:val="28"/>
        </w:rPr>
        <w:instrText>9"]}],"</w:instrText>
      </w:r>
      <w:r w:rsidRPr="008849FA">
        <w:rPr>
          <w:rFonts w:ascii="Times New Roman" w:hAnsi="Times New Roman" w:cs="Times New Roman"/>
          <w:sz w:val="28"/>
          <w:szCs w:val="28"/>
          <w:lang w:val="en-US"/>
        </w:rPr>
        <w:instrText>mendeley</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formattedCitation</w:instrText>
      </w:r>
      <w:r w:rsidRPr="008849FA">
        <w:rPr>
          <w:rFonts w:ascii="Times New Roman" w:hAnsi="Times New Roman" w:cs="Times New Roman"/>
          <w:sz w:val="28"/>
          <w:szCs w:val="28"/>
        </w:rPr>
        <w:instrText>":"[24]","</w:instrText>
      </w:r>
      <w:r w:rsidRPr="008849FA">
        <w:rPr>
          <w:rFonts w:ascii="Times New Roman" w:hAnsi="Times New Roman" w:cs="Times New Roman"/>
          <w:sz w:val="28"/>
          <w:szCs w:val="28"/>
          <w:lang w:val="en-US"/>
        </w:rPr>
        <w:instrText>plainTextFormattedCitation</w:instrText>
      </w:r>
      <w:r w:rsidRPr="008849FA">
        <w:rPr>
          <w:rFonts w:ascii="Times New Roman" w:hAnsi="Times New Roman" w:cs="Times New Roman"/>
          <w:sz w:val="28"/>
          <w:szCs w:val="28"/>
        </w:rPr>
        <w:instrText>":"[24]","</w:instrText>
      </w:r>
      <w:r w:rsidRPr="008849FA">
        <w:rPr>
          <w:rFonts w:ascii="Times New Roman" w:hAnsi="Times New Roman" w:cs="Times New Roman"/>
          <w:sz w:val="28"/>
          <w:szCs w:val="28"/>
          <w:lang w:val="en-US"/>
        </w:rPr>
        <w:instrText>previouslyFormattedCitation</w:instrText>
      </w:r>
      <w:r w:rsidRPr="008849FA">
        <w:rPr>
          <w:rFonts w:ascii="Times New Roman" w:hAnsi="Times New Roman" w:cs="Times New Roman"/>
          <w:sz w:val="28"/>
          <w:szCs w:val="28"/>
        </w:rPr>
        <w:instrText>":"[24]"},"</w:instrText>
      </w:r>
      <w:r w:rsidRPr="008849FA">
        <w:rPr>
          <w:rFonts w:ascii="Times New Roman" w:hAnsi="Times New Roman" w:cs="Times New Roman"/>
          <w:sz w:val="28"/>
          <w:szCs w:val="28"/>
          <w:lang w:val="en-US"/>
        </w:rPr>
        <w:instrText>properties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noteIndex</w:instrText>
      </w:r>
      <w:r w:rsidRPr="008849FA">
        <w:rPr>
          <w:rFonts w:ascii="Times New Roman" w:hAnsi="Times New Roman" w:cs="Times New Roman"/>
          <w:sz w:val="28"/>
          <w:szCs w:val="28"/>
        </w:rPr>
        <w:instrText>":0},"</w:instrText>
      </w:r>
      <w:r w:rsidRPr="008849FA">
        <w:rPr>
          <w:rFonts w:ascii="Times New Roman" w:hAnsi="Times New Roman" w:cs="Times New Roman"/>
          <w:sz w:val="28"/>
          <w:szCs w:val="28"/>
          <w:lang w:val="en-US"/>
        </w:rPr>
        <w:instrText>schema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https</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github</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com</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citation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style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language</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schema</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raw</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master</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csl</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citation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instrText>json</w:instrText>
      </w:r>
      <w:r w:rsidRPr="008849FA">
        <w:rPr>
          <w:rFonts w:ascii="Times New Roman" w:hAnsi="Times New Roman" w:cs="Times New Roman"/>
          <w:sz w:val="28"/>
          <w:szCs w:val="28"/>
        </w:rPr>
        <w:instrText>"}</w:instrText>
      </w:r>
      <w:r w:rsidRPr="008849FA">
        <w:rPr>
          <w:rFonts w:ascii="Times New Roman" w:hAnsi="Times New Roman" w:cs="Times New Roman"/>
          <w:sz w:val="28"/>
          <w:szCs w:val="28"/>
          <w:lang w:val="en-US"/>
        </w:rPr>
        <w:fldChar w:fldCharType="separate"/>
      </w:r>
      <w:r w:rsidRPr="008849FA">
        <w:rPr>
          <w:rFonts w:ascii="Times New Roman" w:hAnsi="Times New Roman" w:cs="Times New Roman"/>
          <w:noProof/>
          <w:sz w:val="28"/>
          <w:szCs w:val="28"/>
        </w:rPr>
        <w:t>[24]</w:t>
      </w:r>
      <w:r w:rsidRPr="008849FA">
        <w:rPr>
          <w:rFonts w:ascii="Times New Roman" w:hAnsi="Times New Roman" w:cs="Times New Roman"/>
          <w:sz w:val="28"/>
          <w:szCs w:val="28"/>
          <w:lang w:val="en-US"/>
        </w:rPr>
        <w:fldChar w:fldCharType="end"/>
      </w:r>
      <w:r w:rsidRPr="008849FA">
        <w:rPr>
          <w:rFonts w:ascii="Times New Roman" w:hAnsi="Times New Roman" w:cs="Times New Roman"/>
          <w:sz w:val="28"/>
          <w:szCs w:val="28"/>
        </w:rPr>
        <w:t xml:space="preserve">. Что касается регенерации тканей, емкостная резистивная электротерапия в настоящее время используется в реабилитации и в спортивной медицине для лечения повреждений мышц, костей, связок и сухожилий. Ускорение восстановления после травм благодаря емкостной - резистивной электротерапии происходит </w:t>
      </w:r>
      <w:r w:rsidRPr="008849FA">
        <w:rPr>
          <w:rFonts w:ascii="Times New Roman" w:hAnsi="Times New Roman" w:cs="Times New Roman"/>
          <w:sz w:val="28"/>
          <w:szCs w:val="28"/>
        </w:rPr>
        <w:lastRenderedPageBreak/>
        <w:t xml:space="preserve">благодаря уменьшению объема поврежденной области, а также благодаря противовоспалительному действию, аналгезии, усиления тканевого метаболизма, </w:t>
      </w:r>
      <w:proofErr w:type="spellStart"/>
      <w:r w:rsidRPr="008849FA">
        <w:rPr>
          <w:rFonts w:ascii="Times New Roman" w:hAnsi="Times New Roman" w:cs="Times New Roman"/>
          <w:sz w:val="28"/>
          <w:szCs w:val="28"/>
        </w:rPr>
        <w:t>гиперваскуляризации</w:t>
      </w:r>
      <w:proofErr w:type="spellEnd"/>
      <w:r w:rsidRPr="008849FA">
        <w:rPr>
          <w:rFonts w:ascii="Times New Roman" w:hAnsi="Times New Roman" w:cs="Times New Roman"/>
          <w:sz w:val="28"/>
          <w:szCs w:val="28"/>
        </w:rPr>
        <w:t xml:space="preserve"> и восстановлению функции тканей </w:t>
      </w:r>
      <w:r w:rsidRPr="008849FA">
        <w:rPr>
          <w:rFonts w:ascii="Times New Roman" w:hAnsi="Times New Roman" w:cs="Times New Roman"/>
          <w:sz w:val="28"/>
          <w:szCs w:val="28"/>
        </w:rPr>
        <w:fldChar w:fldCharType="begin" w:fldLock="1"/>
      </w:r>
      <w:r w:rsidRPr="008849FA">
        <w:rPr>
          <w:rFonts w:ascii="Times New Roman" w:hAnsi="Times New Roman" w:cs="Times New Roman"/>
          <w:sz w:val="28"/>
          <w:szCs w:val="28"/>
        </w:rPr>
        <w:instrText>ADDIN CSL_CITATION {"citationItems":[{"id":"ITEM-1","itemData":{"DOI":"10.1371/journal.pone.0084636","ISSN":"19326203","PMID":"24416255","abstract":"Capacitive Resistive Electric Transfer (CRET) therapy applies currents of 0.4-0.6 MHz to treatment of inflammatory and musculoskeletal injuries. Previous studies have shown that intermittent exposure to CRET currents at subthermal doses exert cytotoxic or antiproliferative effects in human neuroblastoma or hepatocarcinoma cells, respectively. It has been proposed that such effects would be mediated by cell cycle arrest and by changes in the expression of cyclins and cyclin-dependent kinase inhibitors. The present work focuses on the study of the molecular mechanisms involved in CRET-induced cytostasis and investigates the possibility that the cellular response to the treatment extends to other phenomena, including induction of apoptosis and/or of changes in the differentiation stage of hepatocarcinoma cells. The obtained results show that the reported antiproliferative action of intermittent stimulation (5 m On/4 h Off) with 0.57 MHz, sine wave signal at a current density of 50 μA/mm 2, could be mediated by significant increase of the apoptotic rate as well as significant changes in the expression of proteins p53 and Bcl-2. The results also revealed a significantly decreased expression of alpha-fetoprotein in the treated samples, which, together with an increased concentration of albumin released into the medium by the stimulated cells, can be interpreted as evidence of a transient cytodifferentiating response elicited by the current. The fact that this type of electrical stimulation is capable of promoting both, differentiation and cell cycle arrest in human cancer cells, is of potential interest for a possible extension of the applications of CRET therapy towards the field of oncology. © 2014 Hernández-Bule et al.","author":[{"dropping-particle":"","family":"Hernández-Bule","given":"María Luisa","non-dropping-particle":"","parse-names":false,"suffix":""},{"dropping-particle":"","family":"Trillo","given":"María Ángeles","non-dropping-particle":"","parse-names":false,"suffix":""},{"dropping-particle":"","family":"Úbeda","given":"Alejandro","non-dropping-particle":"","parse-names":false,"suffix":""}],"container-title":"PLoS ONE","id":"ITEM-1","issue":"1","issued":{"date-parts":[["2014"]]},"title":"Molecular mechanisms underlying antiproliferative and differentiating responses of hepatocarcinoma cells to subthermal electric stimulation","type":"article-journal","volume":"9"},"uris":["http://www.mendeley.com/documents/?uuid=deb56b77-5279-42d1-9d19-c0392b8242e9"]}],"mendeley":{"formattedCitation":"[24]","plainTextFormattedCitation":"[24]","previouslyFormattedCitation":"[24]"},"properties":{"noteIndex":0},"schema":"https://github.com/citation-style-language/schema/raw/master/csl-citation.json"}</w:instrText>
      </w:r>
      <w:r w:rsidRPr="008849FA">
        <w:rPr>
          <w:rFonts w:ascii="Times New Roman" w:hAnsi="Times New Roman" w:cs="Times New Roman"/>
          <w:sz w:val="28"/>
          <w:szCs w:val="28"/>
        </w:rPr>
        <w:fldChar w:fldCharType="separate"/>
      </w:r>
      <w:r w:rsidRPr="008849FA">
        <w:rPr>
          <w:rFonts w:ascii="Times New Roman" w:hAnsi="Times New Roman" w:cs="Times New Roman"/>
          <w:noProof/>
          <w:sz w:val="28"/>
          <w:szCs w:val="28"/>
        </w:rPr>
        <w:t>[24]</w:t>
      </w:r>
      <w:r w:rsidRPr="008849FA">
        <w:rPr>
          <w:rFonts w:ascii="Times New Roman" w:hAnsi="Times New Roman" w:cs="Times New Roman"/>
          <w:sz w:val="28"/>
          <w:szCs w:val="28"/>
        </w:rPr>
        <w:fldChar w:fldCharType="end"/>
      </w:r>
      <w:r w:rsidRPr="008849FA">
        <w:rPr>
          <w:rFonts w:ascii="Times New Roman" w:hAnsi="Times New Roman" w:cs="Times New Roman"/>
          <w:sz w:val="28"/>
          <w:szCs w:val="28"/>
        </w:rPr>
        <w:t>.</w:t>
      </w:r>
    </w:p>
    <w:p w:rsidR="00361CEB" w:rsidRPr="008849FA" w:rsidRDefault="00361CEB" w:rsidP="005146FA">
      <w:pPr>
        <w:spacing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На основании опубликованных данных исследований, основными эффектами радиоволновой электротерапии с радиочастотой 448 кГц, являются: стимуляция ионного обмена, восстановление физиологической проницаемости клеточных мембран, стимуляция артериального кровотока и микроциркуляции, стимуляция тканевых метаболических процессов, стимуляция пролиферации тканевых фибробластов, улучшение регенеративной способности тканей. Влияние описанных эффектов может положительно отражаться на лечении пациентов с органической эректильной дисфункцией. </w:t>
      </w:r>
    </w:p>
    <w:p w:rsidR="00361CEB" w:rsidRPr="008849FA" w:rsidRDefault="00361CEB"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Таким образом, исследование применения радиоволновой электротерапии с радиочастотой 448 кГц в лечении пациентов органической эректильной дисфункцией, считается актуальной и перспективной методикой. </w:t>
      </w:r>
    </w:p>
    <w:p w:rsidR="00F042E4" w:rsidRPr="008849FA" w:rsidRDefault="00F042E4"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Степень разработки</w:t>
      </w:r>
      <w:r w:rsidR="00356AA0" w:rsidRPr="008849FA">
        <w:rPr>
          <w:rFonts w:ascii="Times New Roman" w:hAnsi="Times New Roman" w:cs="Times New Roman"/>
          <w:b/>
          <w:sz w:val="28"/>
          <w:szCs w:val="28"/>
        </w:rPr>
        <w:t xml:space="preserve"> темы</w:t>
      </w:r>
      <w:r w:rsidRPr="008849FA">
        <w:rPr>
          <w:rFonts w:ascii="Times New Roman" w:hAnsi="Times New Roman" w:cs="Times New Roman"/>
          <w:b/>
          <w:sz w:val="28"/>
          <w:szCs w:val="28"/>
        </w:rPr>
        <w:t xml:space="preserve"> исследования</w:t>
      </w:r>
    </w:p>
    <w:p w:rsidR="00BB36B4" w:rsidRPr="008849FA" w:rsidRDefault="00BB36B4"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Появлением аппарата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позволило исследователям выявить множество положительных эффектов при применении в различных областях медицины, что позволила внедрить методику в практическую медицину. </w:t>
      </w:r>
    </w:p>
    <w:p w:rsidR="00BB36B4" w:rsidRPr="008849FA" w:rsidRDefault="00BB36B4" w:rsidP="005146FA">
      <w:pPr>
        <w:spacing w:after="0" w:line="360" w:lineRule="auto"/>
        <w:ind w:left="-284" w:firstLine="284"/>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Аппараты для </w:t>
      </w:r>
      <w:proofErr w:type="spellStart"/>
      <w:r w:rsidRPr="008849FA">
        <w:rPr>
          <w:rFonts w:ascii="Times New Roman" w:eastAsia="Times New Roman" w:hAnsi="Times New Roman" w:cs="Times New Roman"/>
          <w:sz w:val="28"/>
          <w:szCs w:val="28"/>
          <w:lang w:eastAsia="ru-RU"/>
        </w:rPr>
        <w:t>электрофизиотерапии</w:t>
      </w:r>
      <w:proofErr w:type="spellEnd"/>
      <w:r w:rsidRPr="008849FA">
        <w:rPr>
          <w:rFonts w:ascii="Times New Roman" w:eastAsia="Times New Roman" w:hAnsi="Times New Roman" w:cs="Times New Roman"/>
          <w:sz w:val="28"/>
          <w:szCs w:val="28"/>
          <w:lang w:eastAsia="ru-RU"/>
        </w:rPr>
        <w:t xml:space="preserve">, основанные на радиоволновой энергии, давно используются в медицинской практике, в частности, в коротковолновой терапии. </w:t>
      </w:r>
      <w:proofErr w:type="spellStart"/>
      <w:r w:rsidRPr="008849FA">
        <w:rPr>
          <w:rFonts w:ascii="Times New Roman" w:eastAsia="Times New Roman" w:hAnsi="Times New Roman" w:cs="Times New Roman"/>
          <w:sz w:val="28"/>
          <w:szCs w:val="28"/>
          <w:lang w:eastAsia="ru-RU"/>
        </w:rPr>
        <w:t>Электрофизиотерапия</w:t>
      </w:r>
      <w:proofErr w:type="spellEnd"/>
      <w:r w:rsidRPr="008849FA">
        <w:rPr>
          <w:rFonts w:ascii="Times New Roman" w:eastAsia="Times New Roman" w:hAnsi="Times New Roman" w:cs="Times New Roman"/>
          <w:sz w:val="28"/>
          <w:szCs w:val="28"/>
          <w:lang w:eastAsia="ru-RU"/>
        </w:rPr>
        <w:t xml:space="preserve"> позволяет уменьшить выраженность болевого синдрома и местного воспаления, ускорить восстановительные процессы в тканях и повысить их  функциональность за счет изменения скорости и объема кровотока, мышечного тонуса и эластичности тканей (за счет индуцированной гипертермии тканей)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{"citationItems":[{"id":"ITEM-1","itemData":{"DOI":"10.1016/j.jsxm.2016.05.017","ISSN":"17436109","PMID":"27436074","abstract":"Introduction A detailed sexual history is the cornerstone for all sexual problem assessments and sexual dysfunction diagnoses. Diagnostic evaluation is based on an in-depth sexual history, including sexual and gender identity and orientation, sexual activity and function, current level of sexual function, overall health and comorbidities, partner relationship and interpersonal factors, and the role of cultural and personal expectations and attitudes. Aim To propose key steps in the diagnostic evaluation of sexual dysfunctions, with special focus on the use of symptom scales and questionnaires. Methods Critical assessment of the current literature by the International Consultation on Sexual Medicine committee. Main Outcome Measures A revised algorithm for the management of sexual dysfunctions, level of evidence, and recommendation for scales and questionnaires. Results The International Consultation on Sexual Medicine proposes an updated algorithm for diagnostic evaluation of sexual dysfunction in men and women, with specific recommendations for sexual history taking and diagnostic evaluation. Standardized scales, checklists, and validated questionnaires are additional adjuncts that should be used routinely in sexual problem evaluation. Scales developed for specific patient groups are included. Results of this evaluation are presented with recommendations for clinical and research uses. Conclusion Defined principles, an algorithm and a range of scales may provide coherent and evidence based management for sexual dysfunctions.","author":[{"dropping-particle":"","family":"Hatzichristou","given":"Dimitris","non-dropping-particle":"","parse-names":false,"suffix":""},{"dropping-particle":"","family":"Kirana","given":"Paraskevi Sofia","non-dropping-particle":"","parse-names":false,"suffix":""},{"dropping-particle":"","family":"Banner","given":"Linda","non-dropping-particle":"","parse-names":false,"suffix":""},{"dropping-particle":"","family":"Althof","given":"Stanley E.","non-dropping-particle":"","parse-names":false,"suffix":""},{"dropping-particle":"","family":"Lonnee-Hoffmann","given":"Risa A.M.","non-dropping-particle":"","parse-names":false,"suffix":""},{"dropping-particle":"","family":"Dennerstein","given":"Lorraine","non-dropping-particle":"","parse-names":false,"suffix":""},{"dropping-particle":"","family":"Rosen","given":"Raymond C.","non-dropping-particle":"","parse-names":false,"suffix":""}],"container-title":"Journal of Sexual Medicine","id":"ITEM-1","issue":"8","issued":{"date-parts":[["2016"]]},"page":"1166-1182","title":"Diagnosing Sexual Dysfunction in Men and Women: Sexual History Taking and the Role of Symptom Scales and Questionnaires","type":"article-journal","volume":"13"},"uris":["http://www.mendeley.com/documents/?uuid=27f71115-2d5d-4af6-89ae-44f0cf85c691"]}],"mendeley":{"formattedCitation":"[25]","plainTextFormattedCitation":"[25]","previouslyFormattedCitation":"[25]"},"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[25]</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BB36B4" w:rsidRPr="008849FA" w:rsidRDefault="00BB36B4"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Среди методов физиотерапии обращает на себя внимание емкостная резистивная </w:t>
      </w:r>
      <w:proofErr w:type="spellStart"/>
      <w:r w:rsidRPr="008849FA">
        <w:rPr>
          <w:rFonts w:ascii="Times New Roman" w:eastAsia="Times New Roman" w:hAnsi="Times New Roman" w:cs="Times New Roman"/>
          <w:sz w:val="28"/>
          <w:szCs w:val="28"/>
          <w:lang w:eastAsia="ru-RU"/>
        </w:rPr>
        <w:t>мнополярная</w:t>
      </w:r>
      <w:proofErr w:type="spellEnd"/>
      <w:r w:rsidRPr="008849FA">
        <w:rPr>
          <w:rFonts w:ascii="Times New Roman" w:eastAsia="Times New Roman" w:hAnsi="Times New Roman" w:cs="Times New Roman"/>
          <w:sz w:val="28"/>
          <w:szCs w:val="28"/>
          <w:lang w:eastAsia="ru-RU"/>
        </w:rPr>
        <w:t xml:space="preserve"> электротерапия – неинвазивный </w:t>
      </w:r>
      <w:proofErr w:type="spellStart"/>
      <w:r w:rsidRPr="008849FA">
        <w:rPr>
          <w:rFonts w:ascii="Times New Roman" w:eastAsia="Times New Roman" w:hAnsi="Times New Roman" w:cs="Times New Roman"/>
          <w:sz w:val="28"/>
          <w:szCs w:val="28"/>
          <w:lang w:eastAsia="ru-RU"/>
        </w:rPr>
        <w:t>электротемпературный</w:t>
      </w:r>
      <w:proofErr w:type="spellEnd"/>
      <w:r w:rsidRPr="008849FA">
        <w:rPr>
          <w:rFonts w:ascii="Times New Roman" w:eastAsia="Times New Roman" w:hAnsi="Times New Roman" w:cs="Times New Roman"/>
          <w:sz w:val="28"/>
          <w:szCs w:val="28"/>
          <w:lang w:eastAsia="ru-RU"/>
        </w:rPr>
        <w:t xml:space="preserve"> метод, основанный на применении электрических токов </w:t>
      </w:r>
      <w:r w:rsidRPr="008849FA">
        <w:rPr>
          <w:rFonts w:ascii="Times New Roman" w:eastAsia="Times New Roman" w:hAnsi="Times New Roman" w:cs="Times New Roman"/>
          <w:sz w:val="28"/>
          <w:szCs w:val="28"/>
          <w:lang w:eastAsia="ru-RU"/>
        </w:rPr>
        <w:lastRenderedPageBreak/>
        <w:t xml:space="preserve">с радиочастотой 400 кГц-450 кГц. Недавние результаты исследований, полученные </w:t>
      </w:r>
      <w:proofErr w:type="spellStart"/>
      <w:r w:rsidRPr="008849FA">
        <w:rPr>
          <w:rFonts w:ascii="Times New Roman" w:eastAsia="Times New Roman" w:hAnsi="Times New Roman" w:cs="Times New Roman"/>
          <w:sz w:val="28"/>
          <w:szCs w:val="28"/>
          <w:lang w:eastAsia="ru-RU"/>
        </w:rPr>
        <w:t>in</w:t>
      </w:r>
      <w:proofErr w:type="spellEnd"/>
      <w:r w:rsidRPr="008849FA">
        <w:rPr>
          <w:rFonts w:ascii="Times New Roman" w:eastAsia="Times New Roman" w:hAnsi="Times New Roman" w:cs="Times New Roman"/>
          <w:sz w:val="28"/>
          <w:szCs w:val="28"/>
          <w:lang w:eastAsia="ru-RU"/>
        </w:rPr>
        <w:t xml:space="preserve"> </w:t>
      </w:r>
      <w:proofErr w:type="spellStart"/>
      <w:r w:rsidRPr="008849FA">
        <w:rPr>
          <w:rFonts w:ascii="Times New Roman" w:eastAsia="Times New Roman" w:hAnsi="Times New Roman" w:cs="Times New Roman"/>
          <w:sz w:val="28"/>
          <w:szCs w:val="28"/>
          <w:lang w:eastAsia="ru-RU"/>
        </w:rPr>
        <w:t>vitro</w:t>
      </w:r>
      <w:proofErr w:type="spellEnd"/>
      <w:r w:rsidRPr="008849FA">
        <w:rPr>
          <w:rFonts w:ascii="Times New Roman" w:eastAsia="Times New Roman" w:hAnsi="Times New Roman" w:cs="Times New Roman"/>
          <w:sz w:val="28"/>
          <w:szCs w:val="28"/>
          <w:lang w:eastAsia="ru-RU"/>
        </w:rPr>
        <w:t xml:space="preserve">, указывают на определенное влияние на клеточном уровне емкостной резистивной электротерапии – оно не ограничивается только термальным эффектом; в </w:t>
      </w:r>
      <w:proofErr w:type="spellStart"/>
      <w:r w:rsidRPr="008849FA">
        <w:rPr>
          <w:rFonts w:ascii="Times New Roman" w:eastAsia="Times New Roman" w:hAnsi="Times New Roman" w:cs="Times New Roman"/>
          <w:sz w:val="28"/>
          <w:szCs w:val="28"/>
          <w:lang w:eastAsia="ru-RU"/>
        </w:rPr>
        <w:t>субтермальных</w:t>
      </w:r>
      <w:proofErr w:type="spellEnd"/>
      <w:r w:rsidRPr="008849FA">
        <w:rPr>
          <w:rFonts w:ascii="Times New Roman" w:eastAsia="Times New Roman" w:hAnsi="Times New Roman" w:cs="Times New Roman"/>
          <w:sz w:val="28"/>
          <w:szCs w:val="28"/>
          <w:lang w:eastAsia="ru-RU"/>
        </w:rPr>
        <w:t xml:space="preserve"> дозах электрическая стимуляция оказывает влияние на пролиферативную активность клеток (доказано в рамках работы на культурах </w:t>
      </w:r>
      <w:proofErr w:type="spellStart"/>
      <w:r w:rsidRPr="008849FA">
        <w:rPr>
          <w:rFonts w:ascii="Times New Roman" w:eastAsia="Times New Roman" w:hAnsi="Times New Roman" w:cs="Times New Roman"/>
          <w:sz w:val="28"/>
          <w:szCs w:val="28"/>
          <w:lang w:eastAsia="ru-RU"/>
        </w:rPr>
        <w:t>мононуклеарных</w:t>
      </w:r>
      <w:proofErr w:type="spellEnd"/>
      <w:r w:rsidRPr="008849FA">
        <w:rPr>
          <w:rFonts w:ascii="Times New Roman" w:eastAsia="Times New Roman" w:hAnsi="Times New Roman" w:cs="Times New Roman"/>
          <w:sz w:val="28"/>
          <w:szCs w:val="28"/>
          <w:lang w:eastAsia="ru-RU"/>
        </w:rPr>
        <w:t xml:space="preserve"> клеток человеческой крови)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{"citationItems":[{"id":"ITEM-1","itemData":{"DOI":"10.1016/j.jsxm.2016.05.017","ISSN":"17436109","PMID":"27436074","abstract":"Introduction A detailed sexual history is the cornerstone for all sexual problem assessments and sexual dysfunction diagnoses. Diagnostic evaluation is based on an in-depth sexual history, including sexual and gender identity and orientation, sexual activity and function, current level of sexual function, overall health and comorbidities, partner relationship and interpersonal factors, and the role of cultural and personal expectations and attitudes. Aim To propose key steps in the diagnostic evaluation of sexual dysfunctions, with special focus on the use of symptom scales and questionnaires. Methods Critical assessment of the current literature by the International Consultation on Sexual Medicine committee. Main Outcome Measures A revised algorithm for the management of sexual dysfunctions, level of evidence, and recommendation for scales and questionnaires. Results The International Consultation on Sexual Medicine proposes an updated algorithm for diagnostic evaluation of sexual dysfunction in men and women, with specific recommendations for sexual history taking and diagnostic evaluation. Standardized scales, checklists, and validated questionnaires are additional adjuncts that should be used routinely in sexual problem evaluation. Scales developed for specific patient groups are included. Results of this evaluation are presented with recommendations for clinical and research uses. Conclusion Defined principles, an algorithm and a range of scales may provide coherent and evidence based management for sexual dysfunctions.","author":[{"dropping-particle":"","family":"Hatzichristou","given":"Dimitris","non-dropping-particle":"","parse-names":false,"suffix":""},{"dropping-particle":"","family":"Kirana","given":"Paraskevi Sofia","non-dropping-particle":"","parse-names":false,"suffix":""},{"dropping-particle":"","family":"Banner","given":"Linda","non-dropping-particle":"","parse-names":false,"suffix":""},{"dropping-particle":"","family":"Althof","given":"Stanley E.","non-dropping-particle":"","parse-names":false,"suffix":""},{"dropping-particle":"","family":"Lonnee-Hoffmann","given":"Risa A.M.","non-dropping-particle":"","parse-names":false,"suffix":""},{"dropping-particle":"","family":"Dennerstein","given":"Lorraine","non-dropping-particle":"","parse-names":false,"suffix":""},{"dropping-particle":"","family":"Rosen","given":"Raymond C.","non-dropping-particle":"","parse-names":false,"suffix":""}],"container-title":"Journal of Sexual Medicine","id":"ITEM-1","issue":"8","issued":{"date-parts":[["2016"]]},"page":"1166-1182","title":"Diagnosing Sexual Dysfunction in Men and Women: Sexual History Taking and the Role of Symptom Scales and Questionnaires","type":"article-journal","volume":"13"},"uris":["http://www.mendeley.com/documents/?uuid=27f71115-2d5d-4af6-89ae-44f0cf85c691"]}],"mendeley":{"formattedCitation":"[25]","plainTextFormattedCitation":"[25]","previouslyFormattedCitation":"[25]"},"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[25]</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Емкостная резистивная электротерапия в настоящее время используется в медицинской реабилитации и в спортивной медицине для регенерации тканей при лечении повреждений мышц, костей, связок и сухожилий. Ускорение восстановления после травм с применением емкостной резистивной электротерапии происходит благодаря уменьшению объема поврежденной области, а также благодаря противовоспалительному действию, аналгезии, усилению тканевого метаболизма, </w:t>
      </w:r>
      <w:proofErr w:type="spellStart"/>
      <w:r w:rsidRPr="008849FA">
        <w:rPr>
          <w:rFonts w:ascii="Times New Roman" w:eastAsia="Times New Roman" w:hAnsi="Times New Roman" w:cs="Times New Roman"/>
          <w:sz w:val="28"/>
          <w:szCs w:val="28"/>
          <w:lang w:eastAsia="ru-RU"/>
        </w:rPr>
        <w:t>гиперваскуляризации</w:t>
      </w:r>
      <w:proofErr w:type="spellEnd"/>
      <w:r w:rsidRPr="008849FA">
        <w:rPr>
          <w:rFonts w:ascii="Times New Roman" w:eastAsia="Times New Roman" w:hAnsi="Times New Roman" w:cs="Times New Roman"/>
          <w:sz w:val="28"/>
          <w:szCs w:val="28"/>
          <w:lang w:eastAsia="ru-RU"/>
        </w:rPr>
        <w:t xml:space="preserve"> и восстановлению функции тканей.</w:t>
      </w:r>
    </w:p>
    <w:p w:rsidR="00BB36B4" w:rsidRPr="008849FA" w:rsidRDefault="00BB36B4"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Согласно опубликованным исследованиям, основными эффектами радиоволновой электротерапии с радиочастотой 448 кГц являются: стимуляция ионного обмена, восстановление физиологической проницаемости клеточных мембран, стимуляция артериального кровотока и микроциркуляции, стимуляция тканевых метаболических процессов, стимуляция пролиферации тканевых фибробластов, стимуляция регенеративной способности тканей </w:t>
      </w:r>
      <w:r w:rsidRPr="008849FA">
        <w:rPr>
          <w:rFonts w:ascii="Times New Roman" w:eastAsia="Times New Roman" w:hAnsi="Times New Roman" w:cs="Times New Roman"/>
          <w:sz w:val="28"/>
          <w:szCs w:val="28"/>
          <w:lang w:eastAsia="ru-RU"/>
        </w:rPr>
        <w:fldChar w:fldCharType="begin" w:fldLock="1"/>
      </w:r>
      <w:r w:rsidRPr="008849FA">
        <w:rPr>
          <w:rFonts w:ascii="Times New Roman" w:eastAsia="Times New Roman" w:hAnsi="Times New Roman" w:cs="Times New Roman"/>
          <w:sz w:val="28"/>
          <w:szCs w:val="28"/>
          <w:lang w:eastAsia="ru-RU"/>
        </w:rPr>
        <w:instrText>ADDIN CSL_CITATION {"citationItems":[{"id":"ITEM-1","itemData":{"DOI":"10.1016/S0090-4295(97)00238-0","ISSN":"00904295","PMID":"9187685","abstract":"Objectives. To develop a brief, reliable, self-administered measure of erectile function that is cross-culturally valid and psychometrically sound, with the sensitivity and specificity for detecting treatment-related changes in patients with erectile dysfunction. Methods. Relevant domains of sexual function across various cultures were identified via a literature search of existing questionnaires and interviews of male patients with erectile dysfunction and of their partners. An initial questionnaire was administered to patients with erectile dysfunction, with results reviewed by an international panel of experts. Following linguistic validation in 10 languages, the final 15-item questionnaire, the International Index of Erectile Function (IIEF), was examined for sensitivity, specificity, reliability (internal consistency and test-retest repeatability), and construct (concurrent, convergent, and discriminant) validity. Results. A principal components analysis identified five factors (that is, erectile function, orgasmic function, sexual desire, intercourse satisfaction, and overall satisfaction) with eigenvalues greater than 1.0. A high degree of internal consistency was observed for each of the five domains and for the total scale (Cronbach's alpha values of 0.73 and higher and 0.91 and higher, respectively) in the populations studied. Test-retest repeatability correlation coefficients for the five domain scores were highly significant. The IIEF demonstrated adequate construct validity, and all five domains showed a high degree of sensitivity and specificity to the effects of treatment. Significant (P values = 0.0001) changes between baseline and post- treatment scores were observed across all five domains in the treatment responder cohort, but not in the treatment nonresponder cohort. Conclusions. The IIEF addresses the relevant domains of male sexual function (that is, erectile function, orgasmic function, sexual desire, intercourse satisfaction, and overall satisfaction), is psychometrically sound, and has been linguistically validated in 10 languages. This questionnaire is readily self-administered in research or clinical settings. The IIEF demonstrates the sensitivity and specificity for detecting treatment-related changes in patients with erectile dysfunction.","author":[{"dropping-particle":"","family":"Rosen","given":"Raymond C.","non-dropping-particle":"","parse-names":false,"suffix":""},{"dropping-particle":"","family":"Riley","given":"Alan","non-dropping-particle":"","parse-names":false,"suffix":""},{"dropping-particle":"","family":"Wagner","given":"Gorm","non-dropping-particle":"","parse-names":false,"suffix":""},{"dropping-particle":"","family":"Osterloh","given":"Ian H.","non-dropping-particle":"","parse-names":false,"suffix":""},{"dropping-particle":"","family":"Kirkpatrick","given":"John","non-dropping-particle":"","parse-names":false,"suffix":""},{"dropping-particle":"","family":"Mishra","given":"Avanish","non-dropping-particle":"","parse-names":false,"suffix":""}],"container-title":"Urology","id":"ITEM-1","issue":"6","issued":{"date-parts":[["1997"]]},"page":"822-830","title":"The international index of erectile function (IIEF): A multidimensional scale for assessment of erectile dysfunction","type":"article-journal","volume":"49"},"uris":["http://www.mendeley.com/documents/?uuid=c1def423-a500-496a-b6c5-9a70227e19bb"]}],"mendeley":{"formattedCitation":"[26]","plainTextFormattedCitation":"[26]","previouslyFormattedCitation":"[26]"},"properties":{"noteIndex":0},"schema":"https://github.com/citation-style-language/schema/raw/master/csl-citation.json"}</w:instrText>
      </w:r>
      <w:r w:rsidRPr="008849FA">
        <w:rPr>
          <w:rFonts w:ascii="Times New Roman" w:eastAsia="Times New Roman" w:hAnsi="Times New Roman" w:cs="Times New Roman"/>
          <w:sz w:val="28"/>
          <w:szCs w:val="28"/>
          <w:lang w:eastAsia="ru-RU"/>
        </w:rPr>
        <w:fldChar w:fldCharType="separate"/>
      </w:r>
      <w:r w:rsidRPr="008849FA">
        <w:rPr>
          <w:rFonts w:ascii="Times New Roman" w:eastAsia="Times New Roman" w:hAnsi="Times New Roman" w:cs="Times New Roman"/>
          <w:noProof/>
          <w:sz w:val="28"/>
          <w:szCs w:val="28"/>
          <w:lang w:eastAsia="ru-RU"/>
        </w:rPr>
        <w:t>[26]</w:t>
      </w:r>
      <w:r w:rsidRPr="008849FA">
        <w:rPr>
          <w:rFonts w:ascii="Times New Roman" w:eastAsia="Times New Roman" w:hAnsi="Times New Roman" w:cs="Times New Roman"/>
          <w:sz w:val="28"/>
          <w:szCs w:val="28"/>
          <w:lang w:eastAsia="ru-RU"/>
        </w:rPr>
        <w:fldChar w:fldCharType="end"/>
      </w:r>
      <w:r w:rsidRPr="008849FA">
        <w:rPr>
          <w:rFonts w:ascii="Times New Roman" w:eastAsia="Times New Roman" w:hAnsi="Times New Roman" w:cs="Times New Roman"/>
          <w:sz w:val="28"/>
          <w:szCs w:val="28"/>
          <w:lang w:eastAsia="ru-RU"/>
        </w:rPr>
        <w:t xml:space="preserve">. </w:t>
      </w:r>
    </w:p>
    <w:p w:rsidR="00BB36B4" w:rsidRPr="008849FA" w:rsidRDefault="00BB36B4" w:rsidP="005146FA">
      <w:pPr>
        <w:shd w:val="clear" w:color="auto" w:fill="FFFFFF"/>
        <w:spacing w:after="0" w:line="360" w:lineRule="auto"/>
        <w:ind w:left="-284" w:firstLine="284"/>
        <w:contextualSpacing/>
        <w:jc w:val="both"/>
        <w:rPr>
          <w:rFonts w:ascii="Times New Roman" w:eastAsia="Times New Roman" w:hAnsi="Times New Roman" w:cs="Times New Roman"/>
          <w:sz w:val="28"/>
          <w:szCs w:val="28"/>
          <w:lang w:eastAsia="ru-RU"/>
        </w:rPr>
      </w:pPr>
      <w:r w:rsidRPr="008849FA">
        <w:rPr>
          <w:rFonts w:ascii="Times New Roman" w:eastAsia="Times New Roman" w:hAnsi="Times New Roman" w:cs="Times New Roman"/>
          <w:sz w:val="28"/>
          <w:szCs w:val="28"/>
          <w:lang w:eastAsia="ru-RU"/>
        </w:rPr>
        <w:t xml:space="preserve">Вышеописанные эффекты емкостной резистивной </w:t>
      </w:r>
      <w:proofErr w:type="spellStart"/>
      <w:r w:rsidRPr="008849FA">
        <w:rPr>
          <w:rFonts w:ascii="Times New Roman" w:eastAsia="Times New Roman" w:hAnsi="Times New Roman" w:cs="Times New Roman"/>
          <w:sz w:val="28"/>
          <w:szCs w:val="28"/>
          <w:lang w:eastAsia="ru-RU"/>
        </w:rPr>
        <w:t>монополярной</w:t>
      </w:r>
      <w:proofErr w:type="spellEnd"/>
      <w:r w:rsidRPr="008849FA">
        <w:rPr>
          <w:rFonts w:ascii="Times New Roman" w:eastAsia="Times New Roman" w:hAnsi="Times New Roman" w:cs="Times New Roman"/>
          <w:sz w:val="28"/>
          <w:szCs w:val="28"/>
          <w:lang w:eastAsia="ru-RU"/>
        </w:rPr>
        <w:t xml:space="preserve"> радиоволновой электротерапии могут служить основой в создании нового метода лечения органической эректильной дисфункции.                           </w:t>
      </w:r>
    </w:p>
    <w:p w:rsidR="00135075" w:rsidRDefault="00135075" w:rsidP="005146FA">
      <w:pPr>
        <w:spacing w:line="360" w:lineRule="auto"/>
        <w:ind w:left="-284" w:firstLine="284"/>
        <w:jc w:val="both"/>
        <w:rPr>
          <w:rFonts w:ascii="Times New Roman" w:hAnsi="Times New Roman" w:cs="Times New Roman"/>
          <w:b/>
          <w:bCs/>
          <w:sz w:val="28"/>
          <w:szCs w:val="28"/>
        </w:rPr>
      </w:pPr>
    </w:p>
    <w:p w:rsidR="00BB36B4" w:rsidRPr="008849FA" w:rsidRDefault="00BB36B4" w:rsidP="005146FA">
      <w:pPr>
        <w:spacing w:line="360" w:lineRule="auto"/>
        <w:ind w:left="-284" w:firstLine="284"/>
        <w:jc w:val="both"/>
        <w:rPr>
          <w:rFonts w:ascii="Times New Roman" w:hAnsi="Times New Roman" w:cs="Times New Roman"/>
          <w:b/>
          <w:bCs/>
          <w:sz w:val="28"/>
          <w:szCs w:val="28"/>
        </w:rPr>
      </w:pPr>
      <w:r w:rsidRPr="008849FA">
        <w:rPr>
          <w:rFonts w:ascii="Times New Roman" w:hAnsi="Times New Roman" w:cs="Times New Roman"/>
          <w:b/>
          <w:bCs/>
          <w:sz w:val="28"/>
          <w:szCs w:val="28"/>
        </w:rPr>
        <w:t>Цели и задачи исследования</w:t>
      </w:r>
    </w:p>
    <w:p w:rsidR="00BB36B4" w:rsidRPr="008849FA" w:rsidRDefault="00BB36B4" w:rsidP="005146FA">
      <w:pPr>
        <w:spacing w:after="0"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Цель – улучшить результаты неинвазивного лечения пациентов с органической эректильной дисфункцией.</w:t>
      </w:r>
    </w:p>
    <w:p w:rsidR="00135075" w:rsidRDefault="00135075" w:rsidP="005146FA">
      <w:pPr>
        <w:spacing w:line="360" w:lineRule="auto"/>
        <w:ind w:left="-284" w:firstLine="284"/>
        <w:contextualSpacing/>
        <w:jc w:val="both"/>
        <w:rPr>
          <w:rFonts w:ascii="Times New Roman" w:hAnsi="Times New Roman" w:cs="Times New Roman"/>
          <w:sz w:val="28"/>
          <w:szCs w:val="28"/>
        </w:rPr>
      </w:pPr>
    </w:p>
    <w:p w:rsidR="00135075" w:rsidRDefault="00135075" w:rsidP="005146FA">
      <w:pPr>
        <w:spacing w:line="360" w:lineRule="auto"/>
        <w:ind w:left="-284" w:firstLine="284"/>
        <w:contextualSpacing/>
        <w:jc w:val="both"/>
        <w:rPr>
          <w:rFonts w:ascii="Times New Roman" w:hAnsi="Times New Roman" w:cs="Times New Roman"/>
          <w:sz w:val="28"/>
          <w:szCs w:val="28"/>
        </w:rPr>
      </w:pPr>
    </w:p>
    <w:p w:rsidR="00BB36B4" w:rsidRPr="008849FA" w:rsidRDefault="00135075" w:rsidP="005146FA">
      <w:pPr>
        <w:spacing w:line="360" w:lineRule="auto"/>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00BB36B4" w:rsidRPr="008849FA">
        <w:rPr>
          <w:rFonts w:ascii="Times New Roman" w:hAnsi="Times New Roman" w:cs="Times New Roman"/>
          <w:sz w:val="28"/>
          <w:szCs w:val="28"/>
        </w:rPr>
        <w:t xml:space="preserve">достижения поставленной цели были определены следующие задачи: </w:t>
      </w:r>
    </w:p>
    <w:p w:rsidR="00BB36B4" w:rsidRPr="008849FA" w:rsidRDefault="00BB36B4" w:rsidP="005146FA">
      <w:pPr>
        <w:numPr>
          <w:ilvl w:val="0"/>
          <w:numId w:val="11"/>
        </w:numPr>
        <w:spacing w:after="0"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Оценить клиническую эффективность курсового лечения аппаратом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p>
    <w:p w:rsidR="00E03C6E" w:rsidRPr="008849FA" w:rsidRDefault="00E03C6E" w:rsidP="005146FA">
      <w:pPr>
        <w:numPr>
          <w:ilvl w:val="0"/>
          <w:numId w:val="11"/>
        </w:numPr>
        <w:spacing w:after="0"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Оценить безопасность применения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p>
    <w:p w:rsidR="00E03C6E" w:rsidRDefault="00E03C6E" w:rsidP="005146FA">
      <w:pPr>
        <w:numPr>
          <w:ilvl w:val="0"/>
          <w:numId w:val="11"/>
        </w:numPr>
        <w:spacing w:after="0" w:line="360" w:lineRule="auto"/>
        <w:ind w:left="-284"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Определить частоту </w:t>
      </w:r>
      <w:r w:rsidR="00BB36B4" w:rsidRPr="008849FA">
        <w:rPr>
          <w:rFonts w:ascii="Times New Roman" w:hAnsi="Times New Roman" w:cs="Times New Roman"/>
          <w:sz w:val="28"/>
          <w:szCs w:val="28"/>
        </w:rPr>
        <w:t xml:space="preserve">нежелательных явлений и осложнений применения непрерывной емкостной резистивной </w:t>
      </w:r>
      <w:proofErr w:type="spellStart"/>
      <w:r w:rsidR="00BB36B4" w:rsidRPr="008849FA">
        <w:rPr>
          <w:rFonts w:ascii="Times New Roman" w:hAnsi="Times New Roman" w:cs="Times New Roman"/>
          <w:sz w:val="28"/>
          <w:szCs w:val="28"/>
        </w:rPr>
        <w:t>монополярной</w:t>
      </w:r>
      <w:proofErr w:type="spellEnd"/>
      <w:r w:rsidR="00BB36B4"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r w:rsidRPr="00E03C6E">
        <w:rPr>
          <w:rFonts w:ascii="Times New Roman" w:hAnsi="Times New Roman" w:cs="Times New Roman"/>
          <w:sz w:val="28"/>
          <w:szCs w:val="28"/>
        </w:rPr>
        <w:t xml:space="preserve"> </w:t>
      </w:r>
    </w:p>
    <w:p w:rsidR="00BB36B4" w:rsidRPr="008849FA" w:rsidRDefault="00BB36B4" w:rsidP="005146FA">
      <w:pPr>
        <w:numPr>
          <w:ilvl w:val="0"/>
          <w:numId w:val="11"/>
        </w:numPr>
        <w:spacing w:after="0"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Определить показания и противопоказания к применению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 с позиций системно-структурного подхода.</w:t>
      </w:r>
    </w:p>
    <w:p w:rsidR="00937879" w:rsidRPr="008849FA" w:rsidRDefault="00BB36B4" w:rsidP="005146FA">
      <w:pPr>
        <w:numPr>
          <w:ilvl w:val="0"/>
          <w:numId w:val="11"/>
        </w:numPr>
        <w:spacing w:after="0"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Сформировать </w:t>
      </w:r>
      <w:r w:rsidR="00E03C6E">
        <w:rPr>
          <w:rFonts w:ascii="Times New Roman" w:hAnsi="Times New Roman" w:cs="Times New Roman"/>
          <w:sz w:val="28"/>
          <w:szCs w:val="28"/>
        </w:rPr>
        <w:t xml:space="preserve">протокол и </w:t>
      </w:r>
      <w:r w:rsidRPr="008849FA">
        <w:rPr>
          <w:rFonts w:ascii="Times New Roman" w:hAnsi="Times New Roman" w:cs="Times New Roman"/>
          <w:sz w:val="28"/>
          <w:szCs w:val="28"/>
        </w:rPr>
        <w:t xml:space="preserve">рекомендации по особенностям применения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p>
    <w:p w:rsidR="00BB36B4" w:rsidRPr="008849FA" w:rsidRDefault="00BB36B4"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Научная новизна результатов исследования</w:t>
      </w:r>
    </w:p>
    <w:p w:rsidR="00937879" w:rsidRPr="008849FA" w:rsidRDefault="00BB36B4"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Впервые произведена оценка безопасности и эффективности применения радиоволновой электротерапии с радиочастотой 448 кГц в лечении пациентов с органической эректильной дисфункцией.</w:t>
      </w:r>
    </w:p>
    <w:p w:rsidR="00BB36B4" w:rsidRPr="008849FA" w:rsidRDefault="00BB36B4" w:rsidP="005146FA">
      <w:pPr>
        <w:spacing w:after="0" w:line="360" w:lineRule="auto"/>
        <w:ind w:left="-284" w:firstLine="284"/>
        <w:contextualSpacing/>
        <w:jc w:val="both"/>
        <w:rPr>
          <w:rFonts w:ascii="Times New Roman" w:hAnsi="Times New Roman" w:cs="Times New Roman"/>
          <w:b/>
          <w:sz w:val="28"/>
          <w:szCs w:val="28"/>
        </w:rPr>
      </w:pPr>
      <w:r w:rsidRPr="008849FA">
        <w:rPr>
          <w:rFonts w:ascii="Times New Roman" w:hAnsi="Times New Roman" w:cs="Times New Roman"/>
          <w:b/>
          <w:sz w:val="28"/>
          <w:szCs w:val="28"/>
        </w:rPr>
        <w:t>Теоретическая и практическая значимость работы</w:t>
      </w:r>
    </w:p>
    <w:p w:rsidR="00BB36B4" w:rsidRPr="008849FA" w:rsidRDefault="00BB36B4"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Продемонстрирована значимая клиническая эффективность применения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 </w:t>
      </w:r>
    </w:p>
    <w:p w:rsidR="00BB36B4" w:rsidRPr="008849FA" w:rsidRDefault="00BB36B4"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lastRenderedPageBreak/>
        <w:t xml:space="preserve">На основании анализа полученных данных подтверждена безопасность применения непрерывной емкостной резистивной </w:t>
      </w:r>
      <w:proofErr w:type="spellStart"/>
      <w:r w:rsidRPr="008849FA">
        <w:rPr>
          <w:rFonts w:ascii="Times New Roman" w:hAnsi="Times New Roman" w:cs="Times New Roman"/>
          <w:sz w:val="28"/>
          <w:szCs w:val="28"/>
        </w:rPr>
        <w:t>монополярной</w:t>
      </w:r>
      <w:proofErr w:type="spellEnd"/>
      <w:r w:rsidRPr="008849FA">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p>
    <w:p w:rsidR="00BB36B4" w:rsidRPr="008849FA" w:rsidRDefault="00BB36B4"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 Полученные результаты исследования внедрены в практическую деятельность Института Урологии и репродуктивного здоровья человека Первого МГМУ им. И.М. Сеченова. Анализ полученных результатов может быть важен для улучшения лечения пациентов с органической эректильной дисфункцией и внедрения их в клиническую практику. Результаты проведенных исследований используются при обучении студентов, ординаторов, врачей на повышения квалификации в Институте Урологии и репродуктивного здоровья человека Первого МГМУ им. И.М. Сеченова.</w:t>
      </w:r>
    </w:p>
    <w:p w:rsidR="00937879" w:rsidRPr="008849FA" w:rsidRDefault="00937879"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Методология и методы исследования</w:t>
      </w:r>
    </w:p>
    <w:p w:rsidR="00937879" w:rsidRPr="008849FA" w:rsidRDefault="00937879" w:rsidP="005146FA">
      <w:pPr>
        <w:spacing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Представленная на защиту научно - исследовательская работа выполнена с соблюдением этических норм и принципов доказательной медицины. Методология диссертационной работы предусматривала разработку дизайна исследования, определение объема выборки для обеспечения ее репрезентативности, подбор математических и программных средств статистической обработки полученных данных. Для проведения исследовательской работы использованы современные диагностические методы обследования и лечения пациентов. </w:t>
      </w:r>
    </w:p>
    <w:p w:rsidR="00937879" w:rsidRDefault="00937879" w:rsidP="005146FA">
      <w:pPr>
        <w:spacing w:after="0" w:line="360" w:lineRule="auto"/>
        <w:ind w:left="-284"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Методология работы основана на анализе и обобщении данных информационно-аналитического поиска, охватывающих применение радиоволновой электротерапии с радиочастотой 448 кГц в лечении пациентов с органической эректильной дисфункцией и применения данной методики в смежных областях медицины, а также непосредственное проведение процедур с применением аппарата радиоволновой электротерапии с радиочастотой 448 кГц для пациентов с органической эректильной дисфункцией, в рамках исследования</w:t>
      </w:r>
      <w:r w:rsidRPr="008849FA">
        <w:rPr>
          <w:rFonts w:ascii="Times New Roman" w:hAnsi="Times New Roman" w:cs="Times New Roman"/>
          <w:b/>
          <w:sz w:val="28"/>
          <w:szCs w:val="28"/>
        </w:rPr>
        <w:t>.</w:t>
      </w:r>
    </w:p>
    <w:p w:rsidR="00A01C10" w:rsidRPr="008849FA" w:rsidRDefault="00A01C10" w:rsidP="005146FA">
      <w:pPr>
        <w:tabs>
          <w:tab w:val="left" w:pos="7075"/>
        </w:tabs>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b/>
          <w:sz w:val="28"/>
          <w:szCs w:val="28"/>
        </w:rPr>
        <w:lastRenderedPageBreak/>
        <w:t>Основные положения, выносимые на защиту</w:t>
      </w:r>
      <w:r w:rsidR="002D602D" w:rsidRPr="008849FA">
        <w:rPr>
          <w:rFonts w:ascii="Times New Roman" w:hAnsi="Times New Roman" w:cs="Times New Roman"/>
          <w:b/>
          <w:sz w:val="28"/>
          <w:szCs w:val="28"/>
        </w:rPr>
        <w:t>:</w:t>
      </w:r>
    </w:p>
    <w:p w:rsidR="007C5BC8" w:rsidRPr="008849FA" w:rsidRDefault="007C5BC8" w:rsidP="005146FA">
      <w:pPr>
        <w:pStyle w:val="a4"/>
        <w:numPr>
          <w:ilvl w:val="0"/>
          <w:numId w:val="4"/>
        </w:numPr>
        <w:tabs>
          <w:tab w:val="left" w:pos="426"/>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sz w:val="28"/>
          <w:szCs w:val="28"/>
        </w:rPr>
        <w:t xml:space="preserve">результаты </w:t>
      </w:r>
      <w:r w:rsidR="00C24FF8" w:rsidRPr="008849FA">
        <w:rPr>
          <w:rFonts w:ascii="Times New Roman" w:hAnsi="Times New Roman" w:cs="Times New Roman"/>
          <w:sz w:val="28"/>
          <w:szCs w:val="28"/>
        </w:rPr>
        <w:t>эффективности применени</w:t>
      </w:r>
      <w:r w:rsidR="00BB36B4" w:rsidRPr="008849FA">
        <w:rPr>
          <w:rFonts w:ascii="Times New Roman" w:hAnsi="Times New Roman" w:cs="Times New Roman"/>
          <w:sz w:val="28"/>
          <w:szCs w:val="28"/>
        </w:rPr>
        <w:t>я</w:t>
      </w:r>
      <w:r w:rsidR="00FA68D7" w:rsidRPr="008849FA">
        <w:rPr>
          <w:rFonts w:ascii="Times New Roman" w:hAnsi="Times New Roman" w:cs="Times New Roman"/>
          <w:sz w:val="28"/>
          <w:szCs w:val="28"/>
        </w:rPr>
        <w:t xml:space="preserve"> радиоволновой электротерапии с радиочастотой 448 кГц в лечении пациентов с органической эректильной дисфункцией</w:t>
      </w:r>
      <w:r w:rsidR="00BB36B4" w:rsidRPr="008849FA">
        <w:rPr>
          <w:rFonts w:ascii="Times New Roman" w:hAnsi="Times New Roman" w:cs="Times New Roman"/>
          <w:sz w:val="28"/>
          <w:szCs w:val="28"/>
        </w:rPr>
        <w:t>;</w:t>
      </w:r>
    </w:p>
    <w:p w:rsidR="00BB36B4" w:rsidRPr="008849FA" w:rsidRDefault="00EC4F5A" w:rsidP="005146FA">
      <w:pPr>
        <w:pStyle w:val="a4"/>
        <w:numPr>
          <w:ilvl w:val="0"/>
          <w:numId w:val="4"/>
        </w:numPr>
        <w:tabs>
          <w:tab w:val="left" w:pos="426"/>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sz w:val="28"/>
          <w:szCs w:val="28"/>
        </w:rPr>
        <w:t>р</w:t>
      </w:r>
      <w:r w:rsidR="00A01C10" w:rsidRPr="008849FA">
        <w:rPr>
          <w:rFonts w:ascii="Times New Roman" w:hAnsi="Times New Roman" w:cs="Times New Roman"/>
          <w:sz w:val="28"/>
          <w:szCs w:val="28"/>
        </w:rPr>
        <w:t xml:space="preserve">езультаты </w:t>
      </w:r>
      <w:r w:rsidR="00BB36B4" w:rsidRPr="008849FA">
        <w:rPr>
          <w:rFonts w:ascii="Times New Roman" w:hAnsi="Times New Roman" w:cs="Times New Roman"/>
          <w:sz w:val="28"/>
          <w:szCs w:val="28"/>
        </w:rPr>
        <w:t xml:space="preserve">безопасности </w:t>
      </w:r>
      <w:r w:rsidR="00FA68D7" w:rsidRPr="008849FA">
        <w:rPr>
          <w:rFonts w:ascii="Times New Roman" w:hAnsi="Times New Roman" w:cs="Times New Roman"/>
          <w:sz w:val="28"/>
          <w:szCs w:val="28"/>
        </w:rPr>
        <w:t>применения</w:t>
      </w:r>
      <w:r w:rsidR="00BB36B4" w:rsidRPr="008849FA">
        <w:rPr>
          <w:rFonts w:ascii="Times New Roman" w:hAnsi="Times New Roman" w:cs="Times New Roman"/>
          <w:sz w:val="28"/>
          <w:szCs w:val="28"/>
        </w:rPr>
        <w:t xml:space="preserve"> </w:t>
      </w:r>
      <w:r w:rsidR="00FA68D7" w:rsidRPr="008849FA">
        <w:rPr>
          <w:rFonts w:ascii="Times New Roman" w:hAnsi="Times New Roman" w:cs="Times New Roman"/>
          <w:sz w:val="28"/>
          <w:szCs w:val="28"/>
        </w:rPr>
        <w:t>радиоволновой электротерапии с радиочастотой 448 кГц в лечении пациентов с органической эректильной дисфункцией</w:t>
      </w:r>
      <w:r w:rsidR="00BB36B4" w:rsidRPr="008849FA">
        <w:rPr>
          <w:rFonts w:ascii="Times New Roman" w:hAnsi="Times New Roman" w:cs="Times New Roman"/>
          <w:sz w:val="28"/>
          <w:szCs w:val="28"/>
        </w:rPr>
        <w:t>;</w:t>
      </w:r>
    </w:p>
    <w:p w:rsidR="00A01C10" w:rsidRPr="008849FA" w:rsidRDefault="00EC4F5A" w:rsidP="005146FA">
      <w:pPr>
        <w:pStyle w:val="a4"/>
        <w:numPr>
          <w:ilvl w:val="0"/>
          <w:numId w:val="4"/>
        </w:numPr>
        <w:tabs>
          <w:tab w:val="left" w:pos="426"/>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sz w:val="28"/>
          <w:szCs w:val="28"/>
        </w:rPr>
        <w:t>р</w:t>
      </w:r>
      <w:r w:rsidR="00A01C10" w:rsidRPr="008849FA">
        <w:rPr>
          <w:rFonts w:ascii="Times New Roman" w:hAnsi="Times New Roman" w:cs="Times New Roman"/>
          <w:sz w:val="28"/>
          <w:szCs w:val="28"/>
        </w:rPr>
        <w:t xml:space="preserve">езультаты разработки </w:t>
      </w:r>
      <w:r w:rsidR="00BB36B4" w:rsidRPr="008849FA">
        <w:rPr>
          <w:rFonts w:ascii="Times New Roman" w:hAnsi="Times New Roman" w:cs="Times New Roman"/>
          <w:sz w:val="28"/>
          <w:szCs w:val="28"/>
        </w:rPr>
        <w:t>особенностей</w:t>
      </w:r>
      <w:r w:rsidR="00B04F39" w:rsidRPr="008849FA">
        <w:rPr>
          <w:rFonts w:ascii="Times New Roman" w:hAnsi="Times New Roman" w:cs="Times New Roman"/>
          <w:sz w:val="28"/>
          <w:szCs w:val="28"/>
        </w:rPr>
        <w:t xml:space="preserve"> </w:t>
      </w:r>
      <w:r w:rsidR="00FA68D7" w:rsidRPr="008849FA">
        <w:rPr>
          <w:rFonts w:ascii="Times New Roman" w:hAnsi="Times New Roman" w:cs="Times New Roman"/>
          <w:sz w:val="28"/>
          <w:szCs w:val="28"/>
        </w:rPr>
        <w:t>радиоволновой электротерапии с радиочастотой 448 кГц в лечении пациентов с органической эректильной дисфункцией</w:t>
      </w:r>
      <w:r w:rsidRPr="008849FA">
        <w:rPr>
          <w:rFonts w:ascii="Times New Roman" w:hAnsi="Times New Roman" w:cs="Times New Roman"/>
          <w:sz w:val="28"/>
          <w:szCs w:val="28"/>
        </w:rPr>
        <w:t>;</w:t>
      </w:r>
    </w:p>
    <w:p w:rsidR="00B04F39" w:rsidRPr="008849FA" w:rsidRDefault="00A01C10" w:rsidP="005146FA">
      <w:pPr>
        <w:pStyle w:val="a4"/>
        <w:numPr>
          <w:ilvl w:val="0"/>
          <w:numId w:val="4"/>
        </w:numPr>
        <w:tabs>
          <w:tab w:val="left" w:pos="426"/>
        </w:tabs>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sz w:val="28"/>
          <w:szCs w:val="28"/>
        </w:rPr>
        <w:t>результаты исследовани</w:t>
      </w:r>
      <w:r w:rsidR="00BB36B4" w:rsidRPr="008849FA">
        <w:rPr>
          <w:rFonts w:ascii="Times New Roman" w:hAnsi="Times New Roman" w:cs="Times New Roman"/>
          <w:sz w:val="28"/>
          <w:szCs w:val="28"/>
        </w:rPr>
        <w:t>я</w:t>
      </w:r>
      <w:r w:rsidRPr="008849FA">
        <w:rPr>
          <w:rFonts w:ascii="Times New Roman" w:hAnsi="Times New Roman" w:cs="Times New Roman"/>
          <w:sz w:val="28"/>
          <w:szCs w:val="28"/>
        </w:rPr>
        <w:t xml:space="preserve"> по определению </w:t>
      </w:r>
      <w:r w:rsidR="00BB36B4" w:rsidRPr="008849FA">
        <w:rPr>
          <w:rFonts w:ascii="Times New Roman" w:hAnsi="Times New Roman" w:cs="Times New Roman"/>
          <w:sz w:val="28"/>
          <w:szCs w:val="28"/>
        </w:rPr>
        <w:t xml:space="preserve">клинических показателей, показаний, противопоказаний к проведению </w:t>
      </w:r>
      <w:r w:rsidR="00FA68D7" w:rsidRPr="008849FA">
        <w:rPr>
          <w:rFonts w:ascii="Times New Roman" w:hAnsi="Times New Roman" w:cs="Times New Roman"/>
          <w:sz w:val="28"/>
          <w:szCs w:val="28"/>
        </w:rPr>
        <w:t>радиоволновой электротерапии с радиочастотой 448 кГц в лечении пациентов с органической эректильной дисфункцией</w:t>
      </w:r>
      <w:r w:rsidR="00B04F39" w:rsidRPr="008849FA">
        <w:rPr>
          <w:rFonts w:ascii="Times New Roman" w:hAnsi="Times New Roman" w:cs="Times New Roman"/>
          <w:sz w:val="28"/>
          <w:szCs w:val="28"/>
        </w:rPr>
        <w:t>;</w:t>
      </w:r>
    </w:p>
    <w:p w:rsidR="00937879" w:rsidRPr="008849FA" w:rsidRDefault="00B04F39" w:rsidP="005146FA">
      <w:pPr>
        <w:pStyle w:val="a4"/>
        <w:numPr>
          <w:ilvl w:val="0"/>
          <w:numId w:val="4"/>
        </w:numPr>
        <w:tabs>
          <w:tab w:val="left" w:pos="426"/>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sz w:val="28"/>
          <w:szCs w:val="28"/>
        </w:rPr>
        <w:t xml:space="preserve">результаты оценки перспектив использования </w:t>
      </w:r>
      <w:r w:rsidR="00BB36B4" w:rsidRPr="008849FA">
        <w:rPr>
          <w:rFonts w:ascii="Times New Roman" w:hAnsi="Times New Roman" w:cs="Times New Roman"/>
          <w:sz w:val="28"/>
          <w:szCs w:val="28"/>
        </w:rPr>
        <w:t>радиоволновой электротерапии с радиочастотой 448 кГц в лечении пациентов с орга</w:t>
      </w:r>
      <w:r w:rsidR="00937879" w:rsidRPr="008849FA">
        <w:rPr>
          <w:rFonts w:ascii="Times New Roman" w:hAnsi="Times New Roman" w:cs="Times New Roman"/>
          <w:sz w:val="28"/>
          <w:szCs w:val="28"/>
        </w:rPr>
        <w:t>нической эректильной дисфункцией.</w:t>
      </w:r>
    </w:p>
    <w:p w:rsidR="00C24FF8" w:rsidRPr="008849FA" w:rsidRDefault="002D602D" w:rsidP="005146FA">
      <w:pPr>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b/>
          <w:sz w:val="28"/>
          <w:szCs w:val="28"/>
        </w:rPr>
        <w:t>Достоверность научных положений и выводов</w:t>
      </w:r>
    </w:p>
    <w:p w:rsidR="00B61CD1" w:rsidRPr="008849FA" w:rsidRDefault="00EF683F" w:rsidP="005146FA">
      <w:pPr>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sz w:val="28"/>
          <w:szCs w:val="28"/>
        </w:rPr>
        <w:t>Достоверность получен</w:t>
      </w:r>
      <w:r w:rsidR="00112394" w:rsidRPr="008849FA">
        <w:rPr>
          <w:rFonts w:ascii="Times New Roman" w:hAnsi="Times New Roman" w:cs="Times New Roman"/>
          <w:sz w:val="28"/>
          <w:szCs w:val="28"/>
        </w:rPr>
        <w:t>ных результатов исследования</w:t>
      </w:r>
      <w:r w:rsidRPr="008849FA">
        <w:rPr>
          <w:rFonts w:ascii="Times New Roman" w:hAnsi="Times New Roman" w:cs="Times New Roman"/>
          <w:sz w:val="28"/>
          <w:szCs w:val="28"/>
        </w:rPr>
        <w:t xml:space="preserve"> </w:t>
      </w:r>
      <w:r w:rsidR="00C24FF8" w:rsidRPr="008849FA">
        <w:rPr>
          <w:rFonts w:ascii="Times New Roman" w:hAnsi="Times New Roman" w:cs="Times New Roman"/>
          <w:sz w:val="28"/>
          <w:szCs w:val="28"/>
        </w:rPr>
        <w:t xml:space="preserve">радиоволновой электротерапии с радиочастотой 448 кГц в лечении пациентов с органической эректильной дисфункцией </w:t>
      </w:r>
      <w:r w:rsidR="00112394" w:rsidRPr="008849FA">
        <w:rPr>
          <w:rFonts w:ascii="Times New Roman" w:hAnsi="Times New Roman" w:cs="Times New Roman"/>
          <w:sz w:val="28"/>
          <w:szCs w:val="28"/>
        </w:rPr>
        <w:t>подтверждена многократной повторностью экспериментов с использованием рутинных</w:t>
      </w:r>
      <w:r w:rsidRPr="008849FA">
        <w:rPr>
          <w:rFonts w:ascii="Times New Roman" w:hAnsi="Times New Roman" w:cs="Times New Roman"/>
          <w:sz w:val="28"/>
          <w:szCs w:val="28"/>
        </w:rPr>
        <w:t xml:space="preserve"> и со</w:t>
      </w:r>
      <w:r w:rsidR="00F71D3E" w:rsidRPr="008849FA">
        <w:rPr>
          <w:rFonts w:ascii="Times New Roman" w:hAnsi="Times New Roman" w:cs="Times New Roman"/>
          <w:sz w:val="28"/>
          <w:szCs w:val="28"/>
        </w:rPr>
        <w:t>временных аналитических методов. Экспертная оценка подтвердила достоверность пер</w:t>
      </w:r>
      <w:r w:rsidR="00112394" w:rsidRPr="008849FA">
        <w:rPr>
          <w:rFonts w:ascii="Times New Roman" w:hAnsi="Times New Roman" w:cs="Times New Roman"/>
          <w:sz w:val="28"/>
          <w:szCs w:val="28"/>
        </w:rPr>
        <w:t xml:space="preserve">вичных материалов. В ходе </w:t>
      </w:r>
      <w:r w:rsidR="00DC78C0" w:rsidRPr="008849FA">
        <w:rPr>
          <w:rFonts w:ascii="Times New Roman" w:hAnsi="Times New Roman" w:cs="Times New Roman"/>
          <w:sz w:val="28"/>
          <w:szCs w:val="28"/>
        </w:rPr>
        <w:t>анализа проработан максимально</w:t>
      </w:r>
      <w:r w:rsidR="00F71D3E" w:rsidRPr="008849FA">
        <w:rPr>
          <w:rFonts w:ascii="Times New Roman" w:hAnsi="Times New Roman" w:cs="Times New Roman"/>
          <w:sz w:val="28"/>
          <w:szCs w:val="28"/>
        </w:rPr>
        <w:t xml:space="preserve"> доступный объём литературных научных источников, как</w:t>
      </w:r>
      <w:r w:rsidR="00112394" w:rsidRPr="008849FA">
        <w:rPr>
          <w:rFonts w:ascii="Times New Roman" w:hAnsi="Times New Roman" w:cs="Times New Roman"/>
          <w:sz w:val="28"/>
          <w:szCs w:val="28"/>
        </w:rPr>
        <w:t xml:space="preserve"> зарубежных, так и Российских</w:t>
      </w:r>
      <w:r w:rsidR="00F71D3E" w:rsidRPr="008849FA">
        <w:rPr>
          <w:rFonts w:ascii="Times New Roman" w:hAnsi="Times New Roman" w:cs="Times New Roman"/>
          <w:sz w:val="28"/>
          <w:szCs w:val="28"/>
        </w:rPr>
        <w:t xml:space="preserve"> авторов.</w:t>
      </w:r>
      <w:r w:rsidR="00B61CD1" w:rsidRPr="008849FA">
        <w:rPr>
          <w:rFonts w:ascii="Times New Roman" w:hAnsi="Times New Roman" w:cs="Times New Roman"/>
          <w:sz w:val="28"/>
          <w:szCs w:val="28"/>
        </w:rPr>
        <w:t xml:space="preserve"> Изложенные автором научные </w:t>
      </w:r>
      <w:r w:rsidR="00DC78C0" w:rsidRPr="008849FA">
        <w:rPr>
          <w:rFonts w:ascii="Times New Roman" w:hAnsi="Times New Roman" w:cs="Times New Roman"/>
          <w:sz w:val="28"/>
          <w:szCs w:val="28"/>
        </w:rPr>
        <w:t>положения и</w:t>
      </w:r>
      <w:r w:rsidR="00B61CD1" w:rsidRPr="008849FA">
        <w:rPr>
          <w:rFonts w:ascii="Times New Roman" w:hAnsi="Times New Roman" w:cs="Times New Roman"/>
          <w:sz w:val="28"/>
          <w:szCs w:val="28"/>
        </w:rPr>
        <w:t xml:space="preserve"> полученные выводы базируются на материалах диссертации, доказаны и логичны.</w:t>
      </w:r>
    </w:p>
    <w:p w:rsidR="00937879" w:rsidRPr="008849FA" w:rsidRDefault="00937879" w:rsidP="005146FA">
      <w:pPr>
        <w:spacing w:line="360" w:lineRule="auto"/>
        <w:ind w:left="-284" w:right="-1" w:firstLine="284"/>
        <w:jc w:val="both"/>
        <w:rPr>
          <w:rFonts w:ascii="Times New Roman" w:hAnsi="Times New Roman" w:cs="Times New Roman"/>
          <w:b/>
          <w:sz w:val="28"/>
          <w:szCs w:val="28"/>
        </w:rPr>
      </w:pPr>
    </w:p>
    <w:p w:rsidR="00C24FF8" w:rsidRPr="008849FA" w:rsidRDefault="00C24FF8"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lastRenderedPageBreak/>
        <w:t xml:space="preserve">Степень достоверности и апробация результатов </w:t>
      </w:r>
    </w:p>
    <w:p w:rsidR="00937879" w:rsidRPr="008849FA" w:rsidRDefault="00C24FF8" w:rsidP="005146FA">
      <w:pPr>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Результаты работы доложены на ХХI Конгрессе Российского Общества Урологов в г. Москве в 2021 г., на конференции Московской урологической школы 2021 г., на онлайн-конгрессе Европейской ассоциации урологов в Амстердаме в 2022 г. </w:t>
      </w:r>
    </w:p>
    <w:p w:rsidR="00C24FF8" w:rsidRPr="008849FA" w:rsidRDefault="00937879"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Публикации</w:t>
      </w:r>
    </w:p>
    <w:p w:rsidR="00C24FF8" w:rsidRPr="008849FA" w:rsidRDefault="00C24FF8"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sz w:val="28"/>
          <w:szCs w:val="28"/>
        </w:rPr>
        <w:t xml:space="preserve">По теме диссертации опубликовано 6 научных работ, отражающие основные результаты диссертации, из них: 3 статьи – в изданиях из Перечня Университета/Перечня ВАК при Минобрнауки России, 1 статьи в журналах, включенных в международную базу цитирования </w:t>
      </w:r>
      <w:proofErr w:type="spellStart"/>
      <w:r w:rsidRPr="008849FA">
        <w:rPr>
          <w:rFonts w:ascii="Times New Roman" w:hAnsi="Times New Roman" w:cs="Times New Roman"/>
          <w:sz w:val="28"/>
          <w:szCs w:val="28"/>
        </w:rPr>
        <w:t>Scopus</w:t>
      </w:r>
      <w:proofErr w:type="spellEnd"/>
      <w:r w:rsidRPr="008849FA">
        <w:rPr>
          <w:rFonts w:ascii="Times New Roman" w:hAnsi="Times New Roman" w:cs="Times New Roman"/>
          <w:sz w:val="28"/>
          <w:szCs w:val="28"/>
        </w:rPr>
        <w:t xml:space="preserve">. Также по теме диссертации </w:t>
      </w:r>
      <w:r w:rsidR="00FA68D7" w:rsidRPr="008849FA">
        <w:rPr>
          <w:rFonts w:ascii="Times New Roman" w:hAnsi="Times New Roman" w:cs="Times New Roman"/>
          <w:sz w:val="28"/>
          <w:szCs w:val="28"/>
        </w:rPr>
        <w:t>опубликовано</w:t>
      </w:r>
      <w:r w:rsidRPr="008849FA">
        <w:rPr>
          <w:rFonts w:ascii="Times New Roman" w:hAnsi="Times New Roman" w:cs="Times New Roman"/>
          <w:sz w:val="28"/>
          <w:szCs w:val="28"/>
        </w:rPr>
        <w:t xml:space="preserve"> 2 тезиса, из них один в отдельном сборнике журнала из Перечня Университета/Перечня ВАК при Минобрнауки России, и один тезис опубликован в издании European </w:t>
      </w:r>
      <w:proofErr w:type="spellStart"/>
      <w:r w:rsidRPr="008849FA">
        <w:rPr>
          <w:rFonts w:ascii="Times New Roman" w:hAnsi="Times New Roman" w:cs="Times New Roman"/>
          <w:sz w:val="28"/>
          <w:szCs w:val="28"/>
        </w:rPr>
        <w:t>Urology</w:t>
      </w:r>
      <w:proofErr w:type="spellEnd"/>
      <w:r w:rsidRPr="008849FA">
        <w:rPr>
          <w:rFonts w:ascii="Times New Roman" w:hAnsi="Times New Roman" w:cs="Times New Roman"/>
          <w:sz w:val="28"/>
          <w:szCs w:val="28"/>
        </w:rPr>
        <w:t xml:space="preserve"> EAU22 </w:t>
      </w:r>
      <w:proofErr w:type="spellStart"/>
      <w:r w:rsidRPr="008849FA">
        <w:rPr>
          <w:rFonts w:ascii="Times New Roman" w:hAnsi="Times New Roman" w:cs="Times New Roman"/>
          <w:sz w:val="28"/>
          <w:szCs w:val="28"/>
        </w:rPr>
        <w:t>Supplement</w:t>
      </w:r>
      <w:proofErr w:type="spellEnd"/>
      <w:r w:rsidRPr="008849FA">
        <w:rPr>
          <w:rFonts w:ascii="Times New Roman" w:hAnsi="Times New Roman" w:cs="Times New Roman"/>
          <w:sz w:val="28"/>
          <w:szCs w:val="28"/>
        </w:rPr>
        <w:t xml:space="preserve"> Journal.</w:t>
      </w:r>
    </w:p>
    <w:p w:rsidR="00BC0C2C" w:rsidRPr="008849FA" w:rsidRDefault="00BC0C2C" w:rsidP="005146FA">
      <w:pPr>
        <w:tabs>
          <w:tab w:val="left" w:pos="7075"/>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 xml:space="preserve">Личный вклад </w:t>
      </w:r>
      <w:r w:rsidR="009C5AA2" w:rsidRPr="008849FA">
        <w:rPr>
          <w:rFonts w:ascii="Times New Roman" w:hAnsi="Times New Roman" w:cs="Times New Roman"/>
          <w:b/>
          <w:sz w:val="28"/>
          <w:szCs w:val="28"/>
        </w:rPr>
        <w:t>автора</w:t>
      </w:r>
    </w:p>
    <w:p w:rsidR="00937879" w:rsidRPr="008849FA" w:rsidRDefault="00BC0C2C" w:rsidP="005146FA">
      <w:pPr>
        <w:tabs>
          <w:tab w:val="left" w:pos="7075"/>
        </w:tabs>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sz w:val="28"/>
          <w:szCs w:val="28"/>
        </w:rPr>
        <w:t>Авт</w:t>
      </w:r>
      <w:r w:rsidR="00B54E8E" w:rsidRPr="008849FA">
        <w:rPr>
          <w:rFonts w:ascii="Times New Roman" w:hAnsi="Times New Roman" w:cs="Times New Roman"/>
          <w:sz w:val="28"/>
          <w:szCs w:val="28"/>
        </w:rPr>
        <w:t>ору принадлежит ведущая</w:t>
      </w:r>
      <w:r w:rsidRPr="008849FA">
        <w:rPr>
          <w:rFonts w:ascii="Times New Roman" w:hAnsi="Times New Roman" w:cs="Times New Roman"/>
          <w:sz w:val="28"/>
          <w:szCs w:val="28"/>
        </w:rPr>
        <w:t xml:space="preserve"> роль в</w:t>
      </w:r>
      <w:r w:rsidR="00B227E6" w:rsidRPr="008849FA">
        <w:rPr>
          <w:rFonts w:ascii="Times New Roman" w:hAnsi="Times New Roman" w:cs="Times New Roman"/>
          <w:sz w:val="28"/>
          <w:szCs w:val="28"/>
        </w:rPr>
        <w:t xml:space="preserve"> </w:t>
      </w:r>
      <w:r w:rsidR="00B54E8E" w:rsidRPr="008849FA">
        <w:rPr>
          <w:rFonts w:ascii="Times New Roman" w:hAnsi="Times New Roman" w:cs="Times New Roman"/>
          <w:sz w:val="28"/>
          <w:szCs w:val="28"/>
        </w:rPr>
        <w:t>выборе направления исследования,</w:t>
      </w:r>
      <w:r w:rsidRPr="008849FA">
        <w:rPr>
          <w:rFonts w:ascii="Times New Roman" w:hAnsi="Times New Roman" w:cs="Times New Roman"/>
          <w:sz w:val="28"/>
          <w:szCs w:val="28"/>
        </w:rPr>
        <w:t xml:space="preserve"> проведении </w:t>
      </w:r>
      <w:r w:rsidR="00FA68D7" w:rsidRPr="008849FA">
        <w:rPr>
          <w:rFonts w:ascii="Times New Roman" w:hAnsi="Times New Roman" w:cs="Times New Roman"/>
          <w:sz w:val="28"/>
          <w:szCs w:val="28"/>
        </w:rPr>
        <w:t xml:space="preserve">процедур </w:t>
      </w:r>
      <w:r w:rsidRPr="008849FA">
        <w:rPr>
          <w:rFonts w:ascii="Times New Roman" w:hAnsi="Times New Roman" w:cs="Times New Roman"/>
          <w:sz w:val="28"/>
          <w:szCs w:val="28"/>
        </w:rPr>
        <w:t>экспериментальн</w:t>
      </w:r>
      <w:r w:rsidR="00FA68D7" w:rsidRPr="008849FA">
        <w:rPr>
          <w:rFonts w:ascii="Times New Roman" w:hAnsi="Times New Roman" w:cs="Times New Roman"/>
          <w:sz w:val="28"/>
          <w:szCs w:val="28"/>
        </w:rPr>
        <w:t>ой</w:t>
      </w:r>
      <w:r w:rsidRPr="008849FA">
        <w:rPr>
          <w:rFonts w:ascii="Times New Roman" w:hAnsi="Times New Roman" w:cs="Times New Roman"/>
          <w:sz w:val="28"/>
          <w:szCs w:val="28"/>
        </w:rPr>
        <w:t xml:space="preserve"> </w:t>
      </w:r>
      <w:r w:rsidR="00FA68D7" w:rsidRPr="008849FA">
        <w:rPr>
          <w:rFonts w:ascii="Times New Roman" w:hAnsi="Times New Roman" w:cs="Times New Roman"/>
          <w:sz w:val="28"/>
          <w:szCs w:val="28"/>
        </w:rPr>
        <w:t>методики</w:t>
      </w:r>
      <w:r w:rsidRPr="008849FA">
        <w:rPr>
          <w:rFonts w:ascii="Times New Roman" w:hAnsi="Times New Roman" w:cs="Times New Roman"/>
          <w:sz w:val="28"/>
          <w:szCs w:val="28"/>
        </w:rPr>
        <w:t xml:space="preserve">, </w:t>
      </w:r>
      <w:r w:rsidR="00FA68D7" w:rsidRPr="008849FA">
        <w:rPr>
          <w:rFonts w:ascii="Times New Roman" w:hAnsi="Times New Roman" w:cs="Times New Roman"/>
          <w:sz w:val="28"/>
          <w:szCs w:val="28"/>
        </w:rPr>
        <w:t xml:space="preserve">анализе </w:t>
      </w:r>
      <w:r w:rsidR="00937879" w:rsidRPr="008849FA">
        <w:rPr>
          <w:rFonts w:ascii="Times New Roman" w:hAnsi="Times New Roman" w:cs="Times New Roman"/>
          <w:sz w:val="28"/>
          <w:szCs w:val="28"/>
        </w:rPr>
        <w:t>и</w:t>
      </w:r>
      <w:r w:rsidR="00FA68D7" w:rsidRPr="008849FA">
        <w:rPr>
          <w:rFonts w:ascii="Times New Roman" w:hAnsi="Times New Roman" w:cs="Times New Roman"/>
          <w:sz w:val="28"/>
          <w:szCs w:val="28"/>
        </w:rPr>
        <w:t xml:space="preserve"> </w:t>
      </w:r>
      <w:r w:rsidRPr="008849FA">
        <w:rPr>
          <w:rFonts w:ascii="Times New Roman" w:hAnsi="Times New Roman" w:cs="Times New Roman"/>
          <w:sz w:val="28"/>
          <w:szCs w:val="28"/>
        </w:rPr>
        <w:t>интерпретации</w:t>
      </w:r>
      <w:r w:rsidR="00937879" w:rsidRPr="008849FA">
        <w:rPr>
          <w:rFonts w:ascii="Times New Roman" w:hAnsi="Times New Roman" w:cs="Times New Roman"/>
          <w:sz w:val="28"/>
          <w:szCs w:val="28"/>
        </w:rPr>
        <w:t xml:space="preserve"> результатов</w:t>
      </w:r>
      <w:r w:rsidRPr="008849FA">
        <w:rPr>
          <w:rFonts w:ascii="Times New Roman" w:hAnsi="Times New Roman" w:cs="Times New Roman"/>
          <w:sz w:val="28"/>
          <w:szCs w:val="28"/>
        </w:rPr>
        <w:t>, критическом изучении и обобщении полученных дан</w:t>
      </w:r>
      <w:r w:rsidR="00B54E8E" w:rsidRPr="008849FA">
        <w:rPr>
          <w:rFonts w:ascii="Times New Roman" w:hAnsi="Times New Roman" w:cs="Times New Roman"/>
          <w:sz w:val="28"/>
          <w:szCs w:val="28"/>
        </w:rPr>
        <w:t xml:space="preserve">ных. </w:t>
      </w:r>
      <w:r w:rsidR="006804CD" w:rsidRPr="008849FA">
        <w:rPr>
          <w:rFonts w:ascii="Times New Roman" w:hAnsi="Times New Roman" w:cs="Times New Roman"/>
          <w:sz w:val="28"/>
          <w:szCs w:val="28"/>
        </w:rPr>
        <w:t>Все приводимые в</w:t>
      </w:r>
      <w:r w:rsidR="00937879" w:rsidRPr="008849FA">
        <w:rPr>
          <w:rFonts w:ascii="Times New Roman" w:hAnsi="Times New Roman" w:cs="Times New Roman"/>
          <w:sz w:val="28"/>
          <w:szCs w:val="28"/>
        </w:rPr>
        <w:t xml:space="preserve"> </w:t>
      </w:r>
      <w:r w:rsidR="006804CD" w:rsidRPr="008849FA">
        <w:rPr>
          <w:rFonts w:ascii="Times New Roman" w:hAnsi="Times New Roman" w:cs="Times New Roman"/>
          <w:sz w:val="28"/>
          <w:szCs w:val="28"/>
        </w:rPr>
        <w:t xml:space="preserve">диссертации экспериментальные данные получены лично автором, им же осуществлена статистическая обработка полученных в ходе экспериментальных исследований </w:t>
      </w:r>
      <w:r w:rsidR="00B8526B" w:rsidRPr="008849FA">
        <w:rPr>
          <w:rFonts w:ascii="Times New Roman" w:hAnsi="Times New Roman" w:cs="Times New Roman"/>
          <w:sz w:val="28"/>
          <w:szCs w:val="28"/>
        </w:rPr>
        <w:t xml:space="preserve">результатов, </w:t>
      </w:r>
      <w:r w:rsidR="006804CD" w:rsidRPr="008849FA">
        <w:rPr>
          <w:rFonts w:ascii="Times New Roman" w:hAnsi="Times New Roman" w:cs="Times New Roman"/>
          <w:sz w:val="28"/>
          <w:szCs w:val="28"/>
        </w:rPr>
        <w:t xml:space="preserve">написаны главы </w:t>
      </w:r>
      <w:r w:rsidR="00B8526B" w:rsidRPr="008849FA">
        <w:rPr>
          <w:rFonts w:ascii="Times New Roman" w:hAnsi="Times New Roman" w:cs="Times New Roman"/>
          <w:sz w:val="28"/>
          <w:szCs w:val="28"/>
        </w:rPr>
        <w:t>диссертации и</w:t>
      </w:r>
      <w:r w:rsidR="006804CD" w:rsidRPr="008849FA">
        <w:rPr>
          <w:rFonts w:ascii="Times New Roman" w:hAnsi="Times New Roman" w:cs="Times New Roman"/>
          <w:sz w:val="28"/>
          <w:szCs w:val="28"/>
        </w:rPr>
        <w:t xml:space="preserve"> научные статьи. Под руководством научного </w:t>
      </w:r>
      <w:r w:rsidR="00B8526B" w:rsidRPr="008849FA">
        <w:rPr>
          <w:rFonts w:ascii="Times New Roman" w:hAnsi="Times New Roman" w:cs="Times New Roman"/>
          <w:sz w:val="28"/>
          <w:szCs w:val="28"/>
        </w:rPr>
        <w:t xml:space="preserve">руководителя </w:t>
      </w:r>
      <w:r w:rsidR="006804CD" w:rsidRPr="008849FA">
        <w:rPr>
          <w:rFonts w:ascii="Times New Roman" w:hAnsi="Times New Roman" w:cs="Times New Roman"/>
          <w:sz w:val="28"/>
          <w:szCs w:val="28"/>
        </w:rPr>
        <w:t xml:space="preserve">сформулирована тема диссертационной </w:t>
      </w:r>
      <w:r w:rsidR="00B8526B" w:rsidRPr="008849FA">
        <w:rPr>
          <w:rFonts w:ascii="Times New Roman" w:hAnsi="Times New Roman" w:cs="Times New Roman"/>
          <w:sz w:val="28"/>
          <w:szCs w:val="28"/>
        </w:rPr>
        <w:t>работы,</w:t>
      </w:r>
      <w:r w:rsidR="006804CD" w:rsidRPr="008849FA">
        <w:rPr>
          <w:rFonts w:ascii="Times New Roman" w:hAnsi="Times New Roman" w:cs="Times New Roman"/>
          <w:sz w:val="28"/>
          <w:szCs w:val="28"/>
        </w:rPr>
        <w:t xml:space="preserve"> предложен дизайн планируемых научных исследований и проведено обобщение полученных результатов.</w:t>
      </w:r>
    </w:p>
    <w:p w:rsidR="00690863" w:rsidRPr="008849FA" w:rsidRDefault="00690863" w:rsidP="005146FA">
      <w:pPr>
        <w:tabs>
          <w:tab w:val="left" w:pos="7075"/>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Внедрение результатов исследования</w:t>
      </w:r>
    </w:p>
    <w:p w:rsidR="00937879" w:rsidRPr="008849FA" w:rsidRDefault="004A54FC" w:rsidP="005146FA">
      <w:pPr>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b/>
          <w:sz w:val="28"/>
          <w:szCs w:val="28"/>
        </w:rPr>
        <w:t xml:space="preserve"> </w:t>
      </w:r>
      <w:r w:rsidR="00DA1975" w:rsidRPr="008849FA">
        <w:rPr>
          <w:rFonts w:ascii="Times New Roman" w:hAnsi="Times New Roman" w:cs="Times New Roman"/>
          <w:sz w:val="28"/>
          <w:szCs w:val="28"/>
        </w:rPr>
        <w:t xml:space="preserve">Результаты проведенного исследования использованы в учебном процессе </w:t>
      </w:r>
      <w:r w:rsidR="00FA68D7" w:rsidRPr="008849FA">
        <w:rPr>
          <w:rFonts w:ascii="Times New Roman" w:hAnsi="Times New Roman" w:cs="Times New Roman"/>
          <w:sz w:val="28"/>
          <w:szCs w:val="28"/>
        </w:rPr>
        <w:t>института Урологии и репродуктивного здоровья человека</w:t>
      </w:r>
      <w:r w:rsidR="00DA1975" w:rsidRPr="008849FA">
        <w:rPr>
          <w:rFonts w:ascii="Times New Roman" w:hAnsi="Times New Roman" w:cs="Times New Roman"/>
          <w:sz w:val="28"/>
          <w:szCs w:val="28"/>
        </w:rPr>
        <w:t xml:space="preserve"> ФГАОУ ВО Первый МГМУ имени И.М. Сеченова Минздрава России (Сеченовский Университет) </w:t>
      </w:r>
      <w:r w:rsidR="00DA1975" w:rsidRPr="008849FA">
        <w:rPr>
          <w:rFonts w:ascii="Times New Roman" w:hAnsi="Times New Roman" w:cs="Times New Roman"/>
          <w:sz w:val="28"/>
          <w:szCs w:val="28"/>
        </w:rPr>
        <w:lastRenderedPageBreak/>
        <w:t>(акт внедрения от 2</w:t>
      </w:r>
      <w:r w:rsidR="00FA68D7" w:rsidRPr="008849FA">
        <w:rPr>
          <w:rFonts w:ascii="Times New Roman" w:hAnsi="Times New Roman" w:cs="Times New Roman"/>
          <w:sz w:val="28"/>
          <w:szCs w:val="28"/>
        </w:rPr>
        <w:t>5</w:t>
      </w:r>
      <w:r w:rsidR="00DA1975" w:rsidRPr="008849FA">
        <w:rPr>
          <w:rFonts w:ascii="Times New Roman" w:hAnsi="Times New Roman" w:cs="Times New Roman"/>
          <w:sz w:val="28"/>
          <w:szCs w:val="28"/>
        </w:rPr>
        <w:t xml:space="preserve">.03.22). Предложенная автором методика </w:t>
      </w:r>
      <w:r w:rsidR="00FA68D7" w:rsidRPr="008849FA">
        <w:rPr>
          <w:rFonts w:ascii="Times New Roman" w:hAnsi="Times New Roman" w:cs="Times New Roman"/>
          <w:sz w:val="28"/>
          <w:szCs w:val="28"/>
        </w:rPr>
        <w:t xml:space="preserve">применения радиоволновой электротерапии с радиочастотой 448 кГц в лечении пациентов с органической эректильной дисфункцией </w:t>
      </w:r>
      <w:r w:rsidR="00DA1975" w:rsidRPr="008849FA">
        <w:rPr>
          <w:rFonts w:ascii="Times New Roman" w:hAnsi="Times New Roman" w:cs="Times New Roman"/>
          <w:sz w:val="28"/>
          <w:szCs w:val="28"/>
        </w:rPr>
        <w:t xml:space="preserve">апробирована и </w:t>
      </w:r>
      <w:r w:rsidR="00FA68D7" w:rsidRPr="008849FA">
        <w:rPr>
          <w:rFonts w:ascii="Times New Roman" w:hAnsi="Times New Roman" w:cs="Times New Roman"/>
          <w:sz w:val="28"/>
          <w:szCs w:val="28"/>
        </w:rPr>
        <w:t xml:space="preserve">института Урологии и репродуктивного здоровья человека ФГАОУ ВО Первый МГМУ имени И.М. Сеченова Минздрава России (Сеченовский Университет) (акт внедрения от 25.03.22) </w:t>
      </w:r>
    </w:p>
    <w:p w:rsidR="004A54FC" w:rsidRPr="008849FA" w:rsidRDefault="004A54FC"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Соответствие диссертации паспорту научной специальности</w:t>
      </w:r>
    </w:p>
    <w:p w:rsidR="00BD7CB2" w:rsidRPr="008849FA" w:rsidRDefault="004A54FC" w:rsidP="005146FA">
      <w:pPr>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Научные положения диссертации соответствуют </w:t>
      </w:r>
      <w:r w:rsidR="00DC78C0" w:rsidRPr="008849FA">
        <w:rPr>
          <w:rFonts w:ascii="Times New Roman" w:hAnsi="Times New Roman" w:cs="Times New Roman"/>
          <w:sz w:val="28"/>
          <w:szCs w:val="28"/>
        </w:rPr>
        <w:t xml:space="preserve">специальности </w:t>
      </w:r>
      <w:r w:rsidR="00FA68D7" w:rsidRPr="008849FA">
        <w:rPr>
          <w:rFonts w:ascii="Times New Roman" w:hAnsi="Times New Roman" w:cs="Times New Roman"/>
          <w:sz w:val="28"/>
          <w:szCs w:val="28"/>
        </w:rPr>
        <w:t>3.1.13. Урология и андрология (14.01.23 – Урология)</w:t>
      </w:r>
      <w:r w:rsidR="00BD7CB2" w:rsidRPr="008849FA">
        <w:rPr>
          <w:rFonts w:ascii="Times New Roman" w:hAnsi="Times New Roman" w:cs="Times New Roman"/>
          <w:sz w:val="28"/>
          <w:szCs w:val="28"/>
        </w:rPr>
        <w:t xml:space="preserve">. </w:t>
      </w:r>
      <w:r w:rsidR="00937879" w:rsidRPr="008849FA">
        <w:rPr>
          <w:rFonts w:ascii="Times New Roman" w:hAnsi="Times New Roman" w:cs="Times New Roman"/>
          <w:sz w:val="28"/>
          <w:szCs w:val="28"/>
        </w:rPr>
        <w:t>Полученные результаты и обоснованные выводы выполненные</w:t>
      </w:r>
      <w:r w:rsidR="00BD7CB2" w:rsidRPr="008849FA">
        <w:rPr>
          <w:rFonts w:ascii="Times New Roman" w:hAnsi="Times New Roman" w:cs="Times New Roman"/>
          <w:sz w:val="28"/>
          <w:szCs w:val="28"/>
        </w:rPr>
        <w:t xml:space="preserve"> автором исследования полностью соответствуют направлению </w:t>
      </w:r>
      <w:r w:rsidR="0072051C" w:rsidRPr="008849FA">
        <w:rPr>
          <w:rFonts w:ascii="Times New Roman" w:hAnsi="Times New Roman" w:cs="Times New Roman"/>
          <w:sz w:val="28"/>
          <w:szCs w:val="28"/>
        </w:rPr>
        <w:t>научных изысканий специальности</w:t>
      </w:r>
      <w:r w:rsidR="00937879" w:rsidRPr="008849FA">
        <w:rPr>
          <w:rFonts w:ascii="Times New Roman" w:hAnsi="Times New Roman" w:cs="Times New Roman"/>
          <w:sz w:val="28"/>
          <w:szCs w:val="28"/>
        </w:rPr>
        <w:t>.</w:t>
      </w:r>
      <w:r w:rsidR="00BD7CB2" w:rsidRPr="008849FA">
        <w:rPr>
          <w:rFonts w:ascii="Times New Roman" w:hAnsi="Times New Roman" w:cs="Times New Roman"/>
          <w:sz w:val="28"/>
          <w:szCs w:val="28"/>
        </w:rPr>
        <w:t xml:space="preserve"> </w:t>
      </w:r>
    </w:p>
    <w:p w:rsidR="00BD7CB2" w:rsidRPr="008849FA" w:rsidRDefault="004A54FC" w:rsidP="005146FA">
      <w:pPr>
        <w:tabs>
          <w:tab w:val="left" w:pos="7075"/>
        </w:tabs>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b/>
          <w:sz w:val="28"/>
          <w:szCs w:val="28"/>
        </w:rPr>
        <w:t xml:space="preserve">Связь задач исследования с проблемным планом </w:t>
      </w:r>
      <w:r w:rsidR="00937879" w:rsidRPr="008849FA">
        <w:rPr>
          <w:rFonts w:ascii="Times New Roman" w:hAnsi="Times New Roman" w:cs="Times New Roman"/>
          <w:b/>
          <w:sz w:val="28"/>
          <w:szCs w:val="28"/>
        </w:rPr>
        <w:t>урологического и антологического профиля</w:t>
      </w:r>
    </w:p>
    <w:p w:rsidR="003E4F25" w:rsidRPr="008849FA" w:rsidRDefault="006D0C41" w:rsidP="005146FA">
      <w:pPr>
        <w:tabs>
          <w:tab w:val="left" w:pos="7075"/>
        </w:tabs>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Выполнение диссертационной работы проводилось в рамках плана и в соответствии с тематикой научно-исследовательской работы </w:t>
      </w:r>
      <w:r w:rsidR="00937879" w:rsidRPr="008849FA">
        <w:rPr>
          <w:rFonts w:ascii="Times New Roman" w:hAnsi="Times New Roman" w:cs="Times New Roman"/>
          <w:sz w:val="28"/>
          <w:szCs w:val="28"/>
        </w:rPr>
        <w:t>в институте Урологии и репродуктивного здоровья человека</w:t>
      </w:r>
      <w:r w:rsidRPr="008849FA">
        <w:rPr>
          <w:rFonts w:ascii="Times New Roman" w:hAnsi="Times New Roman" w:cs="Times New Roman"/>
          <w:sz w:val="28"/>
          <w:szCs w:val="28"/>
        </w:rPr>
        <w:t xml:space="preserve"> ФГАОУ ВО Первый МГМУ имени И.М. Сеченова Минздрава России (Сеченовский Университет) по теме: «</w:t>
      </w:r>
      <w:r w:rsidR="00937879" w:rsidRPr="008849FA">
        <w:rPr>
          <w:rFonts w:ascii="Times New Roman" w:hAnsi="Times New Roman" w:cs="Times New Roman"/>
          <w:sz w:val="28"/>
          <w:szCs w:val="28"/>
        </w:rPr>
        <w:t>Оценка эффективности и безопасности радиоволновой электротерапии с радиочастотой 448 кГц в лечении пациентов органической эректильной дисфункцией»</w:t>
      </w:r>
      <w:r w:rsidRPr="008849FA">
        <w:rPr>
          <w:rFonts w:ascii="Times New Roman" w:hAnsi="Times New Roman" w:cs="Times New Roman"/>
          <w:sz w:val="28"/>
          <w:szCs w:val="28"/>
        </w:rPr>
        <w:t>.</w:t>
      </w:r>
    </w:p>
    <w:p w:rsidR="003E4F25" w:rsidRPr="008849FA" w:rsidRDefault="003E4F25" w:rsidP="005146FA">
      <w:pPr>
        <w:tabs>
          <w:tab w:val="left" w:pos="7075"/>
        </w:tabs>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 xml:space="preserve">Статистический анализ. </w:t>
      </w:r>
    </w:p>
    <w:p w:rsidR="003E4F25" w:rsidRPr="008849FA" w:rsidRDefault="003E4F25" w:rsidP="005146FA">
      <w:pPr>
        <w:tabs>
          <w:tab w:val="left" w:pos="7075"/>
        </w:tabs>
        <w:spacing w:line="360" w:lineRule="auto"/>
        <w:ind w:left="-284" w:right="-1"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Параметрические данные представлены с применением среднего значения и стандартного отклонения (среднее ±SD); анализ проведен с использованием парного t-критерия Стьюдента, критерия Колмогорова-Смирнова и критерия </w:t>
      </w:r>
      <w:proofErr w:type="spellStart"/>
      <w:r w:rsidRPr="008849FA">
        <w:rPr>
          <w:rFonts w:ascii="Times New Roman" w:hAnsi="Times New Roman" w:cs="Times New Roman"/>
          <w:sz w:val="28"/>
          <w:szCs w:val="28"/>
        </w:rPr>
        <w:t>Краскела-Уоллиса</w:t>
      </w:r>
      <w:proofErr w:type="spellEnd"/>
      <w:r w:rsidRPr="008849FA">
        <w:rPr>
          <w:rFonts w:ascii="Times New Roman" w:hAnsi="Times New Roman" w:cs="Times New Roman"/>
          <w:sz w:val="28"/>
          <w:szCs w:val="28"/>
        </w:rPr>
        <w:t xml:space="preserve">; использовано программное обеспечение SPSS </w:t>
      </w:r>
      <w:proofErr w:type="spellStart"/>
      <w:r w:rsidRPr="008849FA">
        <w:rPr>
          <w:rFonts w:ascii="Times New Roman" w:hAnsi="Times New Roman" w:cs="Times New Roman"/>
          <w:sz w:val="28"/>
          <w:szCs w:val="28"/>
        </w:rPr>
        <w:t>Statistics</w:t>
      </w:r>
      <w:proofErr w:type="spellEnd"/>
      <w:r w:rsidRPr="008849FA">
        <w:rPr>
          <w:rFonts w:ascii="Times New Roman" w:hAnsi="Times New Roman" w:cs="Times New Roman"/>
          <w:sz w:val="28"/>
          <w:szCs w:val="28"/>
        </w:rPr>
        <w:t xml:space="preserve"> 23.0 (IBM, USA). Непараметрические данные представлены с применением медианы и </w:t>
      </w:r>
      <w:proofErr w:type="spellStart"/>
      <w:r w:rsidRPr="008849FA">
        <w:rPr>
          <w:rFonts w:ascii="Times New Roman" w:hAnsi="Times New Roman" w:cs="Times New Roman"/>
          <w:sz w:val="28"/>
          <w:szCs w:val="28"/>
        </w:rPr>
        <w:t>межквартильного</w:t>
      </w:r>
      <w:proofErr w:type="spellEnd"/>
      <w:r w:rsidRPr="008849FA">
        <w:rPr>
          <w:rFonts w:ascii="Times New Roman" w:hAnsi="Times New Roman" w:cs="Times New Roman"/>
          <w:sz w:val="28"/>
          <w:szCs w:val="28"/>
        </w:rPr>
        <w:t xml:space="preserve"> размаха (медиана; IQR). Определение корреляций между </w:t>
      </w:r>
      <w:r w:rsidRPr="008849FA">
        <w:rPr>
          <w:rFonts w:ascii="Times New Roman" w:hAnsi="Times New Roman" w:cs="Times New Roman"/>
          <w:sz w:val="28"/>
          <w:szCs w:val="28"/>
        </w:rPr>
        <w:lastRenderedPageBreak/>
        <w:t xml:space="preserve">исследуемыми признаками выполнено с использованием коэффициента корреляции </w:t>
      </w:r>
      <w:proofErr w:type="spellStart"/>
      <w:r w:rsidRPr="008849FA">
        <w:rPr>
          <w:rFonts w:ascii="Times New Roman" w:hAnsi="Times New Roman" w:cs="Times New Roman"/>
          <w:sz w:val="28"/>
          <w:szCs w:val="28"/>
        </w:rPr>
        <w:t>Спирмена</w:t>
      </w:r>
      <w:proofErr w:type="spellEnd"/>
      <w:r w:rsidRPr="008849FA">
        <w:rPr>
          <w:rFonts w:ascii="Times New Roman" w:hAnsi="Times New Roman" w:cs="Times New Roman"/>
          <w:sz w:val="28"/>
          <w:szCs w:val="28"/>
        </w:rPr>
        <w:t xml:space="preserve">. </w:t>
      </w:r>
      <w:r w:rsidR="00135075" w:rsidRPr="008849FA">
        <w:rPr>
          <w:rFonts w:ascii="Times New Roman" w:hAnsi="Times New Roman" w:cs="Times New Roman"/>
          <w:sz w:val="28"/>
          <w:szCs w:val="28"/>
        </w:rPr>
        <w:t>Статистически</w:t>
      </w:r>
      <w:r w:rsidRPr="008849FA">
        <w:rPr>
          <w:rFonts w:ascii="Times New Roman" w:hAnsi="Times New Roman" w:cs="Times New Roman"/>
          <w:sz w:val="28"/>
          <w:szCs w:val="28"/>
        </w:rPr>
        <w:t xml:space="preserve"> значимый уровень меньше 0,05. </w:t>
      </w:r>
    </w:p>
    <w:p w:rsidR="00ED6204" w:rsidRPr="008849FA" w:rsidRDefault="00ED6204"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ОСНОВНОЕ СОДЕРЖАНИЕ РАБОТЫ</w:t>
      </w:r>
    </w:p>
    <w:p w:rsidR="00ED6204" w:rsidRPr="008849FA" w:rsidRDefault="00111DCE" w:rsidP="005146FA">
      <w:pPr>
        <w:spacing w:line="360" w:lineRule="auto"/>
        <w:ind w:left="-284" w:right="-1" w:firstLine="284"/>
        <w:jc w:val="both"/>
        <w:rPr>
          <w:rFonts w:ascii="Times New Roman" w:hAnsi="Times New Roman" w:cs="Times New Roman"/>
          <w:b/>
          <w:sz w:val="28"/>
          <w:szCs w:val="28"/>
        </w:rPr>
      </w:pPr>
      <w:r w:rsidRPr="008849FA">
        <w:rPr>
          <w:rFonts w:ascii="Times New Roman" w:hAnsi="Times New Roman" w:cs="Times New Roman"/>
          <w:b/>
          <w:sz w:val="28"/>
          <w:szCs w:val="28"/>
        </w:rPr>
        <w:t>Общая характеристика групп пациентов</w:t>
      </w:r>
    </w:p>
    <w:p w:rsidR="00111DCE" w:rsidRPr="008849FA" w:rsidRDefault="00111DCE" w:rsidP="005146FA">
      <w:pPr>
        <w:spacing w:line="360" w:lineRule="auto"/>
        <w:ind w:left="-284" w:right="-7"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Работа носила </w:t>
      </w:r>
      <w:proofErr w:type="spellStart"/>
      <w:r w:rsidRPr="008849FA">
        <w:rPr>
          <w:rFonts w:ascii="Times New Roman" w:hAnsi="Times New Roman" w:cs="Times New Roman"/>
          <w:sz w:val="28"/>
          <w:szCs w:val="28"/>
        </w:rPr>
        <w:t>проспективный</w:t>
      </w:r>
      <w:proofErr w:type="spellEnd"/>
      <w:r w:rsidRPr="008849FA">
        <w:rPr>
          <w:rFonts w:ascii="Times New Roman" w:hAnsi="Times New Roman" w:cs="Times New Roman"/>
          <w:sz w:val="28"/>
          <w:szCs w:val="28"/>
        </w:rPr>
        <w:t xml:space="preserve"> характер, и была сделана на базе Института урологии и репродуктивного здоровья человека Федерального Государственного Автономного Образовательного Учреждения Высшего Образования «</w:t>
      </w:r>
      <w:proofErr w:type="spellStart"/>
      <w:r w:rsidRPr="008849FA">
        <w:rPr>
          <w:rFonts w:ascii="Times New Roman" w:hAnsi="Times New Roman" w:cs="Times New Roman"/>
          <w:sz w:val="28"/>
          <w:szCs w:val="28"/>
        </w:rPr>
        <w:t>Первыи</w:t>
      </w:r>
      <w:proofErr w:type="spellEnd"/>
      <w:r w:rsidRPr="008849FA">
        <w:rPr>
          <w:rFonts w:ascii="Times New Roman" w:hAnsi="Times New Roman" w:cs="Times New Roman"/>
          <w:sz w:val="28"/>
          <w:szCs w:val="28"/>
        </w:rPr>
        <w:t xml:space="preserve">̆ </w:t>
      </w:r>
      <w:proofErr w:type="spellStart"/>
      <w:r w:rsidRPr="008849FA">
        <w:rPr>
          <w:rFonts w:ascii="Times New Roman" w:hAnsi="Times New Roman" w:cs="Times New Roman"/>
          <w:sz w:val="28"/>
          <w:szCs w:val="28"/>
        </w:rPr>
        <w:t>Московскии</w:t>
      </w:r>
      <w:proofErr w:type="spellEnd"/>
      <w:r w:rsidRPr="008849FA">
        <w:rPr>
          <w:rFonts w:ascii="Times New Roman" w:hAnsi="Times New Roman" w:cs="Times New Roman"/>
          <w:sz w:val="28"/>
          <w:szCs w:val="28"/>
        </w:rPr>
        <w:t xml:space="preserve">̆ </w:t>
      </w:r>
      <w:proofErr w:type="spellStart"/>
      <w:r w:rsidRPr="008849FA">
        <w:rPr>
          <w:rFonts w:ascii="Times New Roman" w:hAnsi="Times New Roman" w:cs="Times New Roman"/>
          <w:sz w:val="28"/>
          <w:szCs w:val="28"/>
        </w:rPr>
        <w:t>Государственныи</w:t>
      </w:r>
      <w:proofErr w:type="spellEnd"/>
      <w:r w:rsidRPr="008849FA">
        <w:rPr>
          <w:rFonts w:ascii="Times New Roman" w:hAnsi="Times New Roman" w:cs="Times New Roman"/>
          <w:sz w:val="28"/>
          <w:szCs w:val="28"/>
        </w:rPr>
        <w:t xml:space="preserve">̆ </w:t>
      </w:r>
      <w:proofErr w:type="spellStart"/>
      <w:r w:rsidRPr="008849FA">
        <w:rPr>
          <w:rFonts w:ascii="Times New Roman" w:hAnsi="Times New Roman" w:cs="Times New Roman"/>
          <w:sz w:val="28"/>
          <w:szCs w:val="28"/>
        </w:rPr>
        <w:t>Медицинскии</w:t>
      </w:r>
      <w:proofErr w:type="spellEnd"/>
      <w:r w:rsidRPr="008849FA">
        <w:rPr>
          <w:rFonts w:ascii="Times New Roman" w:hAnsi="Times New Roman" w:cs="Times New Roman"/>
          <w:sz w:val="28"/>
          <w:szCs w:val="28"/>
        </w:rPr>
        <w:t xml:space="preserve">̆ Университет имени И.М. Сеченова Министерства Здравоохранения </w:t>
      </w:r>
      <w:proofErr w:type="spellStart"/>
      <w:r w:rsidRPr="008849FA">
        <w:rPr>
          <w:rFonts w:ascii="Times New Roman" w:hAnsi="Times New Roman" w:cs="Times New Roman"/>
          <w:sz w:val="28"/>
          <w:szCs w:val="28"/>
        </w:rPr>
        <w:t>Российскои</w:t>
      </w:r>
      <w:proofErr w:type="spellEnd"/>
      <w:r w:rsidRPr="008849FA">
        <w:rPr>
          <w:rFonts w:ascii="Times New Roman" w:hAnsi="Times New Roman" w:cs="Times New Roman"/>
          <w:sz w:val="28"/>
          <w:szCs w:val="28"/>
        </w:rPr>
        <w:t>̆ Федерации (</w:t>
      </w:r>
      <w:proofErr w:type="spellStart"/>
      <w:r w:rsidRPr="008849FA">
        <w:rPr>
          <w:rFonts w:ascii="Times New Roman" w:hAnsi="Times New Roman" w:cs="Times New Roman"/>
          <w:sz w:val="28"/>
          <w:szCs w:val="28"/>
        </w:rPr>
        <w:t>Сеченовскии</w:t>
      </w:r>
      <w:proofErr w:type="spellEnd"/>
      <w:r w:rsidRPr="008849FA">
        <w:rPr>
          <w:rFonts w:ascii="Times New Roman" w:hAnsi="Times New Roman" w:cs="Times New Roman"/>
          <w:sz w:val="28"/>
          <w:szCs w:val="28"/>
        </w:rPr>
        <w:t xml:space="preserve">̆ Университет)», </w:t>
      </w:r>
      <w:proofErr w:type="spellStart"/>
      <w:r w:rsidRPr="008849FA">
        <w:rPr>
          <w:rFonts w:ascii="Times New Roman" w:hAnsi="Times New Roman" w:cs="Times New Roman"/>
          <w:sz w:val="28"/>
          <w:szCs w:val="28"/>
        </w:rPr>
        <w:t>университетскои</w:t>
      </w:r>
      <w:proofErr w:type="spellEnd"/>
      <w:r w:rsidRPr="008849FA">
        <w:rPr>
          <w:rFonts w:ascii="Times New Roman" w:hAnsi="Times New Roman" w:cs="Times New Roman"/>
          <w:sz w:val="28"/>
          <w:szCs w:val="28"/>
        </w:rPr>
        <w:t xml:space="preserve">̆ </w:t>
      </w:r>
      <w:proofErr w:type="spellStart"/>
      <w:r w:rsidRPr="008849FA">
        <w:rPr>
          <w:rFonts w:ascii="Times New Roman" w:hAnsi="Times New Roman" w:cs="Times New Roman"/>
          <w:sz w:val="28"/>
          <w:szCs w:val="28"/>
        </w:rPr>
        <w:t>клиническои</w:t>
      </w:r>
      <w:proofErr w:type="spellEnd"/>
      <w:r w:rsidRPr="008849FA">
        <w:rPr>
          <w:rFonts w:ascii="Times New Roman" w:hAnsi="Times New Roman" w:cs="Times New Roman"/>
          <w:sz w:val="28"/>
          <w:szCs w:val="28"/>
        </w:rPr>
        <w:t xml:space="preserve">̆ больницы №2. </w:t>
      </w:r>
    </w:p>
    <w:p w:rsidR="00111DCE" w:rsidRPr="008849FA" w:rsidRDefault="00111DCE" w:rsidP="005146FA">
      <w:pPr>
        <w:spacing w:line="360" w:lineRule="auto"/>
        <w:ind w:left="-284" w:right="-7" w:firstLine="284"/>
        <w:contextualSpacing/>
        <w:jc w:val="both"/>
        <w:rPr>
          <w:rStyle w:val="tlid-translation"/>
          <w:rFonts w:ascii="Times New Roman" w:hAnsi="Times New Roman" w:cs="Times New Roman"/>
          <w:color w:val="000000" w:themeColor="text1"/>
          <w:sz w:val="28"/>
          <w:szCs w:val="28"/>
        </w:rPr>
      </w:pPr>
      <w:r w:rsidRPr="008849FA">
        <w:rPr>
          <w:rFonts w:ascii="Times New Roman" w:hAnsi="Times New Roman" w:cs="Times New Roman"/>
          <w:sz w:val="28"/>
          <w:szCs w:val="28"/>
        </w:rPr>
        <w:t xml:space="preserve">В основу работы легли результаты обследования и лечения 61 пациента, обратившихся в урологическую клинику Первого Московского Государственного Медицинского Университета имени И.М. Сеченова с симптомами </w:t>
      </w:r>
      <w:proofErr w:type="spellStart"/>
      <w:r w:rsidRPr="008849FA">
        <w:rPr>
          <w:rFonts w:ascii="Times New Roman" w:hAnsi="Times New Roman" w:cs="Times New Roman"/>
          <w:sz w:val="28"/>
          <w:szCs w:val="28"/>
        </w:rPr>
        <w:t>васкулогенной</w:t>
      </w:r>
      <w:proofErr w:type="spellEnd"/>
      <w:r w:rsidRPr="008849FA">
        <w:rPr>
          <w:rFonts w:ascii="Times New Roman" w:hAnsi="Times New Roman" w:cs="Times New Roman"/>
          <w:sz w:val="28"/>
          <w:szCs w:val="28"/>
        </w:rPr>
        <w:t xml:space="preserve"> эректильной дисфункции </w:t>
      </w:r>
      <w:r w:rsidR="00AE1B42">
        <w:rPr>
          <w:rFonts w:ascii="Times New Roman" w:hAnsi="Times New Roman" w:cs="Times New Roman"/>
          <w:sz w:val="28"/>
          <w:szCs w:val="28"/>
        </w:rPr>
        <w:t xml:space="preserve">в </w:t>
      </w:r>
      <w:r w:rsidRPr="008849FA">
        <w:rPr>
          <w:rFonts w:ascii="Times New Roman" w:hAnsi="Times New Roman" w:cs="Times New Roman"/>
          <w:sz w:val="28"/>
          <w:szCs w:val="28"/>
        </w:rPr>
        <w:t xml:space="preserve">период </w:t>
      </w:r>
      <w:r w:rsidRPr="008849FA">
        <w:rPr>
          <w:rStyle w:val="s2"/>
          <w:rFonts w:ascii="Times New Roman" w:hAnsi="Times New Roman" w:cs="Times New Roman"/>
          <w:color w:val="000000" w:themeColor="text1"/>
          <w:sz w:val="28"/>
          <w:szCs w:val="28"/>
        </w:rPr>
        <w:t>с сентября 2020 г. по октябрь 2021 г.</w:t>
      </w:r>
    </w:p>
    <w:p w:rsidR="00111DCE" w:rsidRPr="008849FA" w:rsidRDefault="00111DCE" w:rsidP="005146FA">
      <w:pPr>
        <w:pStyle w:val="2"/>
        <w:spacing w:line="360" w:lineRule="auto"/>
        <w:ind w:left="-284" w:firstLine="284"/>
        <w:jc w:val="both"/>
        <w:rPr>
          <w:rFonts w:ascii="Times New Roman" w:hAnsi="Times New Roman" w:cs="Times New Roman"/>
          <w:color w:val="auto"/>
          <w:sz w:val="28"/>
          <w:szCs w:val="28"/>
        </w:rPr>
      </w:pPr>
      <w:r w:rsidRPr="008849FA">
        <w:rPr>
          <w:rFonts w:ascii="Times New Roman" w:hAnsi="Times New Roman" w:cs="Times New Roman"/>
          <w:b/>
          <w:bCs/>
          <w:color w:val="auto"/>
          <w:sz w:val="28"/>
          <w:szCs w:val="28"/>
        </w:rPr>
        <w:t>Критерий включения</w:t>
      </w:r>
    </w:p>
    <w:p w:rsidR="00111DCE" w:rsidRPr="008849FA" w:rsidRDefault="00111DCE" w:rsidP="005146FA">
      <w:pPr>
        <w:spacing w:line="360" w:lineRule="auto"/>
        <w:ind w:left="-284" w:right="-7"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Для участия в исследовании испытуемые должны были соответствовать следующим критериям:</w:t>
      </w:r>
    </w:p>
    <w:p w:rsidR="00111DCE" w:rsidRPr="008849FA" w:rsidRDefault="008849FA" w:rsidP="005146FA">
      <w:pPr>
        <w:pStyle w:val="p1"/>
        <w:spacing w:before="0" w:beforeAutospacing="0" w:after="0" w:afterAutospacing="0" w:line="360" w:lineRule="auto"/>
        <w:ind w:left="-284" w:firstLine="284"/>
        <w:jc w:val="both"/>
        <w:rPr>
          <w:color w:val="000000" w:themeColor="text1"/>
          <w:sz w:val="28"/>
          <w:szCs w:val="28"/>
        </w:rPr>
      </w:pPr>
      <w:r>
        <w:rPr>
          <w:rStyle w:val="s2"/>
          <w:color w:val="000000" w:themeColor="text1"/>
          <w:sz w:val="28"/>
          <w:szCs w:val="28"/>
        </w:rPr>
        <w:t>1) В</w:t>
      </w:r>
      <w:r w:rsidR="00111DCE" w:rsidRPr="008849FA">
        <w:rPr>
          <w:rStyle w:val="s2"/>
          <w:color w:val="000000" w:themeColor="text1"/>
          <w:sz w:val="28"/>
          <w:szCs w:val="28"/>
        </w:rPr>
        <w:t>озраст</w:t>
      </w:r>
      <w:r w:rsidR="00111DCE" w:rsidRPr="008849FA">
        <w:rPr>
          <w:rStyle w:val="apple-converted-space"/>
          <w:rFonts w:eastAsiaTheme="majorEastAsia"/>
          <w:color w:val="000000" w:themeColor="text1"/>
          <w:sz w:val="28"/>
          <w:szCs w:val="28"/>
        </w:rPr>
        <w:t xml:space="preserve"> </w:t>
      </w:r>
      <w:r w:rsidR="00111DCE" w:rsidRPr="008849FA">
        <w:rPr>
          <w:rStyle w:val="s2"/>
          <w:color w:val="000000" w:themeColor="text1"/>
          <w:sz w:val="28"/>
          <w:szCs w:val="28"/>
        </w:rPr>
        <w:t>- от 18 до 79 лет;</w:t>
      </w:r>
      <w:r w:rsidR="00111DCE" w:rsidRPr="008849FA">
        <w:rPr>
          <w:color w:val="000000" w:themeColor="text1"/>
          <w:sz w:val="28"/>
          <w:szCs w:val="28"/>
        </w:rPr>
        <w:t xml:space="preserve"> </w:t>
      </w:r>
    </w:p>
    <w:p w:rsidR="00111DCE" w:rsidRPr="008849FA" w:rsidRDefault="00111DCE" w:rsidP="005146FA">
      <w:pPr>
        <w:pStyle w:val="p1"/>
        <w:spacing w:before="0" w:beforeAutospacing="0" w:after="0" w:afterAutospacing="0" w:line="360" w:lineRule="auto"/>
        <w:ind w:left="-284" w:firstLine="284"/>
        <w:jc w:val="both"/>
        <w:rPr>
          <w:rStyle w:val="apple-converted-space"/>
          <w:rFonts w:eastAsiaTheme="majorEastAsia"/>
          <w:color w:val="000000" w:themeColor="text1"/>
          <w:sz w:val="28"/>
          <w:szCs w:val="28"/>
        </w:rPr>
      </w:pPr>
      <w:r w:rsidRPr="008849FA">
        <w:rPr>
          <w:rStyle w:val="s2"/>
          <w:color w:val="000000" w:themeColor="text1"/>
          <w:sz w:val="28"/>
          <w:szCs w:val="28"/>
        </w:rPr>
        <w:t>2)</w:t>
      </w:r>
      <w:r w:rsidRPr="008849FA">
        <w:rPr>
          <w:rStyle w:val="apple-converted-space"/>
          <w:rFonts w:eastAsiaTheme="majorEastAsia"/>
          <w:color w:val="000000" w:themeColor="text1"/>
          <w:sz w:val="28"/>
          <w:szCs w:val="28"/>
        </w:rPr>
        <w:t xml:space="preserve"> </w:t>
      </w:r>
      <w:r w:rsidR="008849FA">
        <w:rPr>
          <w:rStyle w:val="s4"/>
          <w:color w:val="000000" w:themeColor="text1"/>
          <w:sz w:val="28"/>
          <w:szCs w:val="28"/>
        </w:rPr>
        <w:t>О</w:t>
      </w:r>
      <w:r w:rsidRPr="008849FA">
        <w:rPr>
          <w:rStyle w:val="s4"/>
          <w:color w:val="000000" w:themeColor="text1"/>
          <w:sz w:val="28"/>
          <w:szCs w:val="28"/>
        </w:rPr>
        <w:t>т 5 до 20</w:t>
      </w:r>
      <w:r w:rsidRPr="008849FA">
        <w:rPr>
          <w:rStyle w:val="apple-converted-space"/>
          <w:rFonts w:eastAsiaTheme="majorEastAsia"/>
          <w:color w:val="000000" w:themeColor="text1"/>
          <w:sz w:val="28"/>
          <w:szCs w:val="28"/>
        </w:rPr>
        <w:t xml:space="preserve"> </w:t>
      </w:r>
      <w:r w:rsidRPr="008849FA">
        <w:rPr>
          <w:rStyle w:val="s2"/>
          <w:color w:val="000000" w:themeColor="text1"/>
          <w:sz w:val="28"/>
          <w:szCs w:val="28"/>
        </w:rPr>
        <w:t>баллов по шкале МИЭФ-5;</w:t>
      </w:r>
      <w:r w:rsidRPr="008849FA">
        <w:rPr>
          <w:rStyle w:val="apple-converted-space"/>
          <w:rFonts w:eastAsiaTheme="majorEastAsia"/>
          <w:color w:val="000000" w:themeColor="text1"/>
          <w:sz w:val="28"/>
          <w:szCs w:val="28"/>
        </w:rPr>
        <w:t xml:space="preserve"> </w:t>
      </w:r>
    </w:p>
    <w:p w:rsidR="00111DCE" w:rsidRPr="008849FA" w:rsidRDefault="00111DCE" w:rsidP="005146FA">
      <w:pPr>
        <w:pStyle w:val="p1"/>
        <w:spacing w:before="0" w:beforeAutospacing="0" w:after="0" w:afterAutospacing="0" w:line="360" w:lineRule="auto"/>
        <w:ind w:left="-284" w:firstLine="284"/>
        <w:jc w:val="both"/>
        <w:rPr>
          <w:rStyle w:val="apple-converted-space"/>
          <w:rFonts w:eastAsiaTheme="majorEastAsia"/>
          <w:color w:val="000000" w:themeColor="text1"/>
          <w:sz w:val="28"/>
          <w:szCs w:val="28"/>
        </w:rPr>
      </w:pPr>
      <w:r w:rsidRPr="008849FA">
        <w:rPr>
          <w:rStyle w:val="s2"/>
          <w:color w:val="000000" w:themeColor="text1"/>
          <w:sz w:val="28"/>
          <w:szCs w:val="28"/>
        </w:rPr>
        <w:t xml:space="preserve">3) </w:t>
      </w:r>
      <w:r w:rsidR="008849FA">
        <w:rPr>
          <w:rStyle w:val="s2"/>
          <w:color w:val="000000" w:themeColor="text1"/>
          <w:sz w:val="28"/>
          <w:szCs w:val="28"/>
        </w:rPr>
        <w:t>Д</w:t>
      </w:r>
      <w:r w:rsidRPr="008849FA">
        <w:rPr>
          <w:rStyle w:val="s2"/>
          <w:color w:val="000000" w:themeColor="text1"/>
          <w:sz w:val="28"/>
          <w:szCs w:val="28"/>
        </w:rPr>
        <w:t>оказанная органическая эректильная дисфункция, продолжающаяся не менее 6 месяцев;</w:t>
      </w:r>
      <w:r w:rsidRPr="008849FA">
        <w:rPr>
          <w:rStyle w:val="apple-converted-space"/>
          <w:rFonts w:eastAsiaTheme="majorEastAsia"/>
          <w:color w:val="000000" w:themeColor="text1"/>
          <w:sz w:val="28"/>
          <w:szCs w:val="28"/>
        </w:rPr>
        <w:t xml:space="preserve"> </w:t>
      </w:r>
    </w:p>
    <w:p w:rsidR="00111DCE" w:rsidRPr="008849FA" w:rsidRDefault="00111DCE" w:rsidP="005146FA">
      <w:pPr>
        <w:pStyle w:val="p1"/>
        <w:spacing w:before="0" w:beforeAutospacing="0" w:after="0" w:afterAutospacing="0" w:line="360" w:lineRule="auto"/>
        <w:ind w:left="-284" w:firstLine="284"/>
        <w:jc w:val="both"/>
        <w:rPr>
          <w:color w:val="000000" w:themeColor="text1"/>
          <w:sz w:val="28"/>
          <w:szCs w:val="28"/>
        </w:rPr>
      </w:pPr>
      <w:r w:rsidRPr="008849FA">
        <w:rPr>
          <w:rStyle w:val="s2"/>
          <w:color w:val="000000" w:themeColor="text1"/>
          <w:sz w:val="28"/>
          <w:szCs w:val="28"/>
        </w:rPr>
        <w:t xml:space="preserve">4) </w:t>
      </w:r>
      <w:proofErr w:type="spellStart"/>
      <w:r w:rsidR="008849FA">
        <w:rPr>
          <w:rStyle w:val="s2"/>
          <w:color w:val="000000" w:themeColor="text1"/>
          <w:sz w:val="28"/>
          <w:szCs w:val="28"/>
        </w:rPr>
        <w:t>П</w:t>
      </w:r>
      <w:r w:rsidRPr="008849FA">
        <w:rPr>
          <w:rStyle w:val="s2"/>
          <w:color w:val="000000" w:themeColor="text1"/>
          <w:sz w:val="28"/>
          <w:szCs w:val="28"/>
        </w:rPr>
        <w:t>енильная</w:t>
      </w:r>
      <w:proofErr w:type="spellEnd"/>
      <w:r w:rsidRPr="008849FA">
        <w:rPr>
          <w:rStyle w:val="s2"/>
          <w:color w:val="000000" w:themeColor="text1"/>
          <w:sz w:val="28"/>
          <w:szCs w:val="28"/>
        </w:rPr>
        <w:t xml:space="preserve"> артериальная недостаточность и/или венозная недостаточность, подтверждённые </w:t>
      </w:r>
      <w:proofErr w:type="spellStart"/>
      <w:r w:rsidRPr="008849FA">
        <w:rPr>
          <w:rStyle w:val="s2"/>
          <w:color w:val="000000" w:themeColor="text1"/>
          <w:sz w:val="28"/>
          <w:szCs w:val="28"/>
        </w:rPr>
        <w:t>фармакодопплерографией</w:t>
      </w:r>
      <w:proofErr w:type="spellEnd"/>
      <w:r w:rsidRPr="008849FA">
        <w:rPr>
          <w:rStyle w:val="s2"/>
          <w:color w:val="000000" w:themeColor="text1"/>
          <w:sz w:val="28"/>
          <w:szCs w:val="28"/>
        </w:rPr>
        <w:t xml:space="preserve"> сосудов полового члена (пиковая систолическая скорость (ПСС) &lt;25 </w:t>
      </w:r>
      <w:proofErr w:type="spellStart"/>
      <w:r w:rsidRPr="008849FA">
        <w:rPr>
          <w:rStyle w:val="s2"/>
          <w:color w:val="000000" w:themeColor="text1"/>
          <w:sz w:val="28"/>
          <w:szCs w:val="28"/>
        </w:rPr>
        <w:t>cм</w:t>
      </w:r>
      <w:proofErr w:type="spellEnd"/>
      <w:r w:rsidRPr="008849FA">
        <w:rPr>
          <w:rStyle w:val="s2"/>
          <w:color w:val="000000" w:themeColor="text1"/>
          <w:sz w:val="28"/>
          <w:szCs w:val="28"/>
        </w:rPr>
        <w:t xml:space="preserve">/сек, конечная диастолическая скорость кровотока (КДС) &gt;5 </w:t>
      </w:r>
      <w:proofErr w:type="spellStart"/>
      <w:r w:rsidRPr="008849FA">
        <w:rPr>
          <w:rStyle w:val="s2"/>
          <w:color w:val="000000" w:themeColor="text1"/>
          <w:sz w:val="28"/>
          <w:szCs w:val="28"/>
        </w:rPr>
        <w:t>cм</w:t>
      </w:r>
      <w:proofErr w:type="spellEnd"/>
      <w:r w:rsidRPr="008849FA">
        <w:rPr>
          <w:rStyle w:val="s2"/>
          <w:color w:val="000000" w:themeColor="text1"/>
          <w:sz w:val="28"/>
          <w:szCs w:val="28"/>
        </w:rPr>
        <w:t>/сек, индекс резистентности (ИР) &lt;0,8);</w:t>
      </w:r>
      <w:r w:rsidRPr="008849FA">
        <w:rPr>
          <w:color w:val="000000" w:themeColor="text1"/>
          <w:sz w:val="28"/>
          <w:szCs w:val="28"/>
        </w:rPr>
        <w:t xml:space="preserve"> </w:t>
      </w:r>
    </w:p>
    <w:p w:rsidR="00111DCE" w:rsidRPr="008849FA" w:rsidRDefault="00111DCE" w:rsidP="005146FA">
      <w:pPr>
        <w:pStyle w:val="p1"/>
        <w:spacing w:before="0" w:beforeAutospacing="0" w:after="0" w:afterAutospacing="0" w:line="360" w:lineRule="auto"/>
        <w:ind w:left="-284" w:firstLine="284"/>
        <w:jc w:val="both"/>
        <w:rPr>
          <w:color w:val="000000" w:themeColor="text1"/>
          <w:sz w:val="28"/>
          <w:szCs w:val="28"/>
        </w:rPr>
      </w:pPr>
      <w:r w:rsidRPr="008849FA">
        <w:rPr>
          <w:rStyle w:val="s2"/>
          <w:color w:val="000000" w:themeColor="text1"/>
          <w:sz w:val="28"/>
          <w:szCs w:val="28"/>
        </w:rPr>
        <w:t xml:space="preserve">5) </w:t>
      </w:r>
      <w:r w:rsidR="008849FA">
        <w:rPr>
          <w:rStyle w:val="s2"/>
          <w:color w:val="000000" w:themeColor="text1"/>
          <w:sz w:val="28"/>
          <w:szCs w:val="28"/>
        </w:rPr>
        <w:t>Н</w:t>
      </w:r>
      <w:r w:rsidRPr="008849FA">
        <w:rPr>
          <w:rStyle w:val="s2"/>
          <w:color w:val="000000" w:themeColor="text1"/>
          <w:sz w:val="28"/>
          <w:szCs w:val="28"/>
        </w:rPr>
        <w:t>аличие постоянного полового партнера более 3 месяцев.</w:t>
      </w:r>
    </w:p>
    <w:p w:rsidR="00111DCE" w:rsidRPr="008849FA" w:rsidRDefault="00111DCE" w:rsidP="005146FA">
      <w:pPr>
        <w:pStyle w:val="a4"/>
        <w:spacing w:line="360" w:lineRule="auto"/>
        <w:ind w:left="-284" w:right="-7" w:firstLine="284"/>
        <w:jc w:val="both"/>
        <w:rPr>
          <w:rFonts w:ascii="Times New Roman" w:hAnsi="Times New Roman" w:cs="Times New Roman"/>
          <w:sz w:val="28"/>
          <w:szCs w:val="28"/>
        </w:rPr>
      </w:pPr>
    </w:p>
    <w:p w:rsidR="00111DCE" w:rsidRPr="008849FA" w:rsidRDefault="00111DCE" w:rsidP="005146FA">
      <w:pPr>
        <w:pStyle w:val="2"/>
        <w:spacing w:line="360" w:lineRule="auto"/>
        <w:ind w:left="-284" w:firstLine="284"/>
        <w:jc w:val="both"/>
        <w:rPr>
          <w:rFonts w:ascii="Times New Roman" w:hAnsi="Times New Roman" w:cs="Times New Roman"/>
          <w:b/>
          <w:bCs/>
          <w:color w:val="auto"/>
          <w:sz w:val="28"/>
          <w:szCs w:val="28"/>
        </w:rPr>
      </w:pPr>
      <w:r w:rsidRPr="008849FA">
        <w:rPr>
          <w:rFonts w:ascii="Times New Roman" w:hAnsi="Times New Roman" w:cs="Times New Roman"/>
          <w:b/>
          <w:bCs/>
          <w:color w:val="auto"/>
          <w:sz w:val="28"/>
          <w:szCs w:val="28"/>
        </w:rPr>
        <w:lastRenderedPageBreak/>
        <w:t>Критерии невключения пациентов в исследование:</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color w:val="000000" w:themeColor="text1"/>
          <w:sz w:val="28"/>
          <w:szCs w:val="28"/>
        </w:rPr>
        <w:t>Возраст младше 18 и старше 80 лет</w:t>
      </w:r>
      <w:r w:rsidRPr="008849FA">
        <w:rPr>
          <w:rFonts w:ascii="Times New Roman" w:hAnsi="Times New Roman" w:cs="Times New Roman"/>
          <w:sz w:val="28"/>
          <w:szCs w:val="28"/>
        </w:rPr>
        <w:t>;</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Прием иных средств лечения эректильной дисфункции</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 xml:space="preserve">Наличие признаков </w:t>
      </w:r>
      <w:r w:rsidRPr="008849FA">
        <w:rPr>
          <w:rFonts w:ascii="Times New Roman" w:hAnsi="Times New Roman" w:cs="Times New Roman"/>
          <w:sz w:val="28"/>
          <w:szCs w:val="28"/>
        </w:rPr>
        <w:t>анатомической деформации полового члена (</w:t>
      </w:r>
      <w:proofErr w:type="spellStart"/>
      <w:r w:rsidRPr="008849FA">
        <w:rPr>
          <w:rFonts w:ascii="Times New Roman" w:hAnsi="Times New Roman" w:cs="Times New Roman"/>
          <w:sz w:val="28"/>
          <w:szCs w:val="28"/>
        </w:rPr>
        <w:t>ангуляция</w:t>
      </w:r>
      <w:proofErr w:type="spellEnd"/>
      <w:r w:rsidRPr="008849FA">
        <w:rPr>
          <w:rFonts w:ascii="Times New Roman" w:hAnsi="Times New Roman" w:cs="Times New Roman"/>
          <w:sz w:val="28"/>
          <w:szCs w:val="28"/>
        </w:rPr>
        <w:t xml:space="preserve">, кавернозный фиброз или болезнь </w:t>
      </w:r>
      <w:proofErr w:type="spellStart"/>
      <w:r w:rsidRPr="008849FA">
        <w:rPr>
          <w:rFonts w:ascii="Times New Roman" w:hAnsi="Times New Roman" w:cs="Times New Roman"/>
          <w:sz w:val="28"/>
          <w:szCs w:val="28"/>
        </w:rPr>
        <w:t>Пейрони</w:t>
      </w:r>
      <w:proofErr w:type="spellEnd"/>
      <w:r w:rsidRPr="008849FA">
        <w:rPr>
          <w:rFonts w:ascii="Times New Roman" w:hAnsi="Times New Roman" w:cs="Times New Roman"/>
          <w:sz w:val="28"/>
          <w:szCs w:val="28"/>
        </w:rPr>
        <w:t>);</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Наличие признаков активного воспаления органов мочеполовой системы;</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Наличие верифицированных онкологических заболеваний;</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Повреждения кожных покровов, открытые раны, ожоги на половом члене;</w:t>
      </w:r>
    </w:p>
    <w:p w:rsidR="00111DCE" w:rsidRPr="008849FA" w:rsidRDefault="00111DCE" w:rsidP="005146FA">
      <w:pPr>
        <w:numPr>
          <w:ilvl w:val="0"/>
          <w:numId w:val="12"/>
        </w:numPr>
        <w:tabs>
          <w:tab w:val="clear" w:pos="360"/>
          <w:tab w:val="num" w:pos="284"/>
        </w:tabs>
        <w:spacing w:after="0" w:line="360" w:lineRule="auto"/>
        <w:ind w:left="-284" w:firstLine="284"/>
        <w:jc w:val="both"/>
        <w:rPr>
          <w:rStyle w:val="s2"/>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 xml:space="preserve">Наличие установленного водителя ритма сердца или других электронных имплантатов </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Отсутствие либидо;</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Наличие заболеваний, предрасполагающих к развитию приапизма (серповидно-клеточная анемия, множественная миелома, лейкоз, тромбоцитопения);</w:t>
      </w:r>
    </w:p>
    <w:p w:rsidR="00111DCE" w:rsidRPr="008849FA" w:rsidRDefault="00111DCE" w:rsidP="00AE1B42">
      <w:pPr>
        <w:widowControl w:val="0"/>
        <w:numPr>
          <w:ilvl w:val="0"/>
          <w:numId w:val="12"/>
        </w:numPr>
        <w:tabs>
          <w:tab w:val="clear" w:pos="360"/>
          <w:tab w:val="left" w:pos="220"/>
          <w:tab w:val="num" w:pos="284"/>
        </w:tabs>
        <w:autoSpaceDE w:val="0"/>
        <w:autoSpaceDN w:val="0"/>
        <w:adjustRightInd w:val="0"/>
        <w:spacing w:after="240" w:line="240" w:lineRule="auto"/>
        <w:ind w:left="-284" w:firstLine="284"/>
        <w:jc w:val="both"/>
        <w:rPr>
          <w:rFonts w:ascii="Times New Roman" w:hAnsi="Times New Roman" w:cs="Times New Roman"/>
          <w:sz w:val="28"/>
          <w:szCs w:val="28"/>
          <w:lang w:val="en-US"/>
        </w:rPr>
      </w:pPr>
      <w:r w:rsidRPr="008849FA">
        <w:rPr>
          <w:rFonts w:ascii="Times New Roman" w:hAnsi="Times New Roman" w:cs="Times New Roman"/>
          <w:sz w:val="28"/>
          <w:szCs w:val="28"/>
        </w:rPr>
        <w:t xml:space="preserve"> Наличие </w:t>
      </w:r>
      <w:proofErr w:type="spellStart"/>
      <w:r w:rsidRPr="008849FA">
        <w:rPr>
          <w:rFonts w:ascii="Times New Roman" w:hAnsi="Times New Roman" w:cs="Times New Roman"/>
          <w:sz w:val="28"/>
          <w:szCs w:val="28"/>
          <w:lang w:val="en-US"/>
        </w:rPr>
        <w:t>нарушени</w:t>
      </w:r>
      <w:proofErr w:type="spellEnd"/>
      <w:r w:rsidRPr="008849FA">
        <w:rPr>
          <w:rFonts w:ascii="Times New Roman" w:hAnsi="Times New Roman" w:cs="Times New Roman"/>
          <w:sz w:val="28"/>
          <w:szCs w:val="28"/>
        </w:rPr>
        <w:t>й</w:t>
      </w:r>
      <w:r w:rsidRPr="008849FA">
        <w:rPr>
          <w:rFonts w:ascii="Times New Roman" w:hAnsi="Times New Roman" w:cs="Times New Roman"/>
          <w:sz w:val="28"/>
          <w:szCs w:val="28"/>
          <w:lang w:val="en-US"/>
        </w:rPr>
        <w:t xml:space="preserve"> </w:t>
      </w:r>
      <w:proofErr w:type="spellStart"/>
      <w:r w:rsidRPr="008849FA">
        <w:rPr>
          <w:rFonts w:ascii="Times New Roman" w:hAnsi="Times New Roman" w:cs="Times New Roman"/>
          <w:sz w:val="28"/>
          <w:szCs w:val="28"/>
          <w:lang w:val="en-US"/>
        </w:rPr>
        <w:t>свертываемости</w:t>
      </w:r>
      <w:proofErr w:type="spellEnd"/>
      <w:r w:rsidRPr="008849FA">
        <w:rPr>
          <w:rFonts w:ascii="Times New Roman" w:hAnsi="Times New Roman" w:cs="Times New Roman"/>
          <w:sz w:val="28"/>
          <w:szCs w:val="28"/>
          <w:lang w:val="en-US"/>
        </w:rPr>
        <w:t xml:space="preserve"> </w:t>
      </w:r>
      <w:proofErr w:type="spellStart"/>
      <w:r w:rsidRPr="008849FA">
        <w:rPr>
          <w:rFonts w:ascii="Times New Roman" w:hAnsi="Times New Roman" w:cs="Times New Roman"/>
          <w:sz w:val="28"/>
          <w:szCs w:val="28"/>
          <w:lang w:val="en-US"/>
        </w:rPr>
        <w:t>крови</w:t>
      </w:r>
      <w:proofErr w:type="spellEnd"/>
      <w:r w:rsidRPr="008849FA">
        <w:rPr>
          <w:rFonts w:ascii="Times New Roman" w:hAnsi="Times New Roman" w:cs="Times New Roman"/>
          <w:sz w:val="28"/>
          <w:szCs w:val="28"/>
          <w:lang w:val="en-US"/>
        </w:rPr>
        <w:t xml:space="preserve">; </w:t>
      </w:r>
    </w:p>
    <w:p w:rsidR="00111DCE" w:rsidRPr="008849FA" w:rsidRDefault="00111DCE" w:rsidP="00AE1B42">
      <w:pPr>
        <w:widowControl w:val="0"/>
        <w:numPr>
          <w:ilvl w:val="0"/>
          <w:numId w:val="12"/>
        </w:numPr>
        <w:tabs>
          <w:tab w:val="clear" w:pos="360"/>
          <w:tab w:val="left" w:pos="220"/>
          <w:tab w:val="num" w:pos="284"/>
        </w:tabs>
        <w:autoSpaceDE w:val="0"/>
        <w:autoSpaceDN w:val="0"/>
        <w:adjustRightInd w:val="0"/>
        <w:spacing w:after="240" w:line="24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 Наличие </w:t>
      </w:r>
      <w:proofErr w:type="spellStart"/>
      <w:r w:rsidRPr="008849FA">
        <w:rPr>
          <w:rFonts w:ascii="Times New Roman" w:hAnsi="Times New Roman" w:cs="Times New Roman"/>
          <w:sz w:val="28"/>
          <w:szCs w:val="28"/>
        </w:rPr>
        <w:t>опухолеи</w:t>
      </w:r>
      <w:proofErr w:type="spellEnd"/>
      <w:r w:rsidRPr="008849FA">
        <w:rPr>
          <w:rFonts w:ascii="Times New Roman" w:hAnsi="Times New Roman" w:cs="Times New Roman"/>
          <w:sz w:val="28"/>
          <w:szCs w:val="28"/>
        </w:rPr>
        <w:t xml:space="preserve">̆ (образований) в зоне </w:t>
      </w:r>
      <w:r w:rsidR="00345295" w:rsidRPr="008849FA">
        <w:rPr>
          <w:rFonts w:ascii="Times New Roman" w:hAnsi="Times New Roman" w:cs="Times New Roman"/>
          <w:sz w:val="28"/>
          <w:szCs w:val="28"/>
        </w:rPr>
        <w:t>действия</w:t>
      </w:r>
      <w:r w:rsidRPr="008849FA">
        <w:rPr>
          <w:rFonts w:ascii="Times New Roman" w:hAnsi="Times New Roman" w:cs="Times New Roman"/>
          <w:sz w:val="28"/>
          <w:szCs w:val="28"/>
        </w:rPr>
        <w:t xml:space="preserve"> электротерапии; </w:t>
      </w:r>
    </w:p>
    <w:p w:rsidR="00111DCE" w:rsidRPr="008849FA" w:rsidRDefault="00111DCE" w:rsidP="00AE1B42">
      <w:pPr>
        <w:widowControl w:val="0"/>
        <w:numPr>
          <w:ilvl w:val="0"/>
          <w:numId w:val="12"/>
        </w:numPr>
        <w:tabs>
          <w:tab w:val="clear" w:pos="360"/>
          <w:tab w:val="left" w:pos="220"/>
          <w:tab w:val="num" w:pos="284"/>
        </w:tabs>
        <w:autoSpaceDE w:val="0"/>
        <w:autoSpaceDN w:val="0"/>
        <w:adjustRightInd w:val="0"/>
        <w:spacing w:after="240" w:line="24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 Наличие аневризм на пути распространения радиочастотных волн; </w:t>
      </w:r>
    </w:p>
    <w:p w:rsidR="00111DCE" w:rsidRPr="008849FA" w:rsidRDefault="00111DCE" w:rsidP="00AE1B42">
      <w:pPr>
        <w:widowControl w:val="0"/>
        <w:numPr>
          <w:ilvl w:val="0"/>
          <w:numId w:val="12"/>
        </w:numPr>
        <w:tabs>
          <w:tab w:val="clear" w:pos="360"/>
          <w:tab w:val="left" w:pos="220"/>
          <w:tab w:val="num" w:pos="284"/>
        </w:tabs>
        <w:autoSpaceDE w:val="0"/>
        <w:autoSpaceDN w:val="0"/>
        <w:adjustRightInd w:val="0"/>
        <w:spacing w:after="0" w:line="360" w:lineRule="auto"/>
        <w:ind w:left="-284" w:firstLine="284"/>
        <w:jc w:val="both"/>
        <w:rPr>
          <w:rStyle w:val="s2"/>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 xml:space="preserve"> Наличие </w:t>
      </w:r>
      <w:proofErr w:type="spellStart"/>
      <w:r w:rsidRPr="008849FA">
        <w:rPr>
          <w:rStyle w:val="s2"/>
          <w:rFonts w:ascii="Times New Roman" w:hAnsi="Times New Roman" w:cs="Times New Roman"/>
          <w:color w:val="000000" w:themeColor="text1"/>
          <w:sz w:val="28"/>
          <w:szCs w:val="28"/>
        </w:rPr>
        <w:t>гипогонадизма</w:t>
      </w:r>
      <w:proofErr w:type="spellEnd"/>
      <w:r w:rsidRPr="008849FA">
        <w:rPr>
          <w:rStyle w:val="s2"/>
          <w:rFonts w:ascii="Times New Roman" w:hAnsi="Times New Roman" w:cs="Times New Roman"/>
          <w:color w:val="000000" w:themeColor="text1"/>
          <w:sz w:val="28"/>
          <w:szCs w:val="28"/>
        </w:rPr>
        <w:t>;</w:t>
      </w:r>
    </w:p>
    <w:p w:rsidR="00111DCE" w:rsidRPr="008849FA" w:rsidRDefault="00111DCE" w:rsidP="00AE1B42">
      <w:pPr>
        <w:widowControl w:val="0"/>
        <w:numPr>
          <w:ilvl w:val="0"/>
          <w:numId w:val="12"/>
        </w:numPr>
        <w:tabs>
          <w:tab w:val="clear" w:pos="360"/>
          <w:tab w:val="left" w:pos="220"/>
          <w:tab w:val="num" w:pos="284"/>
        </w:tabs>
        <w:autoSpaceDE w:val="0"/>
        <w:autoSpaceDN w:val="0"/>
        <w:adjustRightInd w:val="0"/>
        <w:spacing w:after="0" w:line="360" w:lineRule="auto"/>
        <w:ind w:left="-284" w:firstLine="284"/>
        <w:jc w:val="both"/>
        <w:rPr>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 xml:space="preserve"> Наличие тяжелой сердечно-сосудистой патологии;</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Тромбозы, тромбоэмболическая болезнь;</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Артериальная гипертензия (АД ≥ 170/90 мм рт. Ст.) или гипотензия (АД ≤ 90/50 мм рт. Ст.);</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Наличие у пациента психического заболевания, не позволяющего проводить оценку эффективности терапии; алкоголизм и наркомания в анамнезе;</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Style w:val="s2"/>
          <w:rFonts w:ascii="Times New Roman" w:hAnsi="Times New Roman" w:cs="Times New Roman"/>
          <w:color w:val="000000" w:themeColor="text1"/>
          <w:sz w:val="28"/>
          <w:szCs w:val="28"/>
        </w:rPr>
        <w:t xml:space="preserve">Прием пациентами антикоагулянтов, антидепрессантов, </w:t>
      </w:r>
      <w:proofErr w:type="spellStart"/>
      <w:r w:rsidRPr="008849FA">
        <w:rPr>
          <w:rStyle w:val="s2"/>
          <w:rFonts w:ascii="Times New Roman" w:hAnsi="Times New Roman" w:cs="Times New Roman"/>
          <w:color w:val="000000" w:themeColor="text1"/>
          <w:sz w:val="28"/>
          <w:szCs w:val="28"/>
        </w:rPr>
        <w:t>антиандрогенов</w:t>
      </w:r>
      <w:proofErr w:type="spellEnd"/>
      <w:r w:rsidRPr="008849FA">
        <w:rPr>
          <w:rStyle w:val="s2"/>
          <w:rFonts w:ascii="Times New Roman" w:hAnsi="Times New Roman" w:cs="Times New Roman"/>
          <w:color w:val="000000" w:themeColor="text1"/>
          <w:sz w:val="28"/>
          <w:szCs w:val="28"/>
        </w:rPr>
        <w:t>, психотропных и наркотических средств;</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Активный туберкулез, хронические соматические заболевания в стадии обострения;</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Состояние после проведения аортокоронарного шунтирования (АКШ);</w:t>
      </w:r>
    </w:p>
    <w:p w:rsidR="00111DCE" w:rsidRPr="008849FA" w:rsidRDefault="00111DCE" w:rsidP="005146FA">
      <w:pPr>
        <w:numPr>
          <w:ilvl w:val="0"/>
          <w:numId w:val="12"/>
        </w:numPr>
        <w:tabs>
          <w:tab w:val="clear" w:pos="360"/>
          <w:tab w:val="num" w:pos="284"/>
        </w:tabs>
        <w:spacing w:after="0"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lastRenderedPageBreak/>
        <w:t>Отсутствие готовности к сотрудничеству со стороны пациента.</w:t>
      </w:r>
    </w:p>
    <w:p w:rsidR="008849FA" w:rsidRDefault="008849FA" w:rsidP="005146FA">
      <w:pPr>
        <w:pStyle w:val="2"/>
        <w:spacing w:line="360" w:lineRule="auto"/>
        <w:ind w:left="-284" w:firstLine="284"/>
        <w:jc w:val="both"/>
        <w:rPr>
          <w:rFonts w:ascii="Times New Roman" w:hAnsi="Times New Roman" w:cs="Times New Roman"/>
          <w:b/>
          <w:bCs/>
          <w:color w:val="auto"/>
          <w:sz w:val="28"/>
          <w:szCs w:val="28"/>
        </w:rPr>
      </w:pPr>
    </w:p>
    <w:p w:rsidR="00111DCE" w:rsidRPr="008849FA" w:rsidRDefault="00111DCE" w:rsidP="005146FA">
      <w:pPr>
        <w:pStyle w:val="2"/>
        <w:spacing w:line="360" w:lineRule="auto"/>
        <w:ind w:left="-284" w:firstLine="284"/>
        <w:jc w:val="both"/>
        <w:rPr>
          <w:rFonts w:ascii="Times New Roman" w:hAnsi="Times New Roman" w:cs="Times New Roman"/>
          <w:b/>
          <w:bCs/>
          <w:color w:val="auto"/>
          <w:sz w:val="28"/>
          <w:szCs w:val="28"/>
        </w:rPr>
      </w:pPr>
      <w:r w:rsidRPr="008849FA">
        <w:rPr>
          <w:rFonts w:ascii="Times New Roman" w:hAnsi="Times New Roman" w:cs="Times New Roman"/>
          <w:b/>
          <w:bCs/>
          <w:color w:val="auto"/>
          <w:sz w:val="28"/>
          <w:szCs w:val="28"/>
        </w:rPr>
        <w:t xml:space="preserve"> Критерии исключения пациентов из исследования:</w:t>
      </w:r>
    </w:p>
    <w:p w:rsidR="00111DCE" w:rsidRPr="008849FA" w:rsidRDefault="00111DCE" w:rsidP="005146FA">
      <w:pPr>
        <w:numPr>
          <w:ilvl w:val="0"/>
          <w:numId w:val="13"/>
        </w:numPr>
        <w:spacing w:after="0" w:line="360" w:lineRule="auto"/>
        <w:ind w:left="-284" w:firstLine="284"/>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Появление у пациента нестерпимой боли в области воздействия прибора.</w:t>
      </w:r>
    </w:p>
    <w:p w:rsidR="00111DCE" w:rsidRPr="008849FA" w:rsidRDefault="00111DCE" w:rsidP="005146FA">
      <w:pPr>
        <w:numPr>
          <w:ilvl w:val="0"/>
          <w:numId w:val="13"/>
        </w:numPr>
        <w:spacing w:after="0" w:line="360" w:lineRule="auto"/>
        <w:ind w:left="-284" w:firstLine="284"/>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Ошибочное включение в исследование.</w:t>
      </w:r>
    </w:p>
    <w:p w:rsidR="00111DCE" w:rsidRPr="008849FA" w:rsidRDefault="00111DCE" w:rsidP="005146FA">
      <w:pPr>
        <w:numPr>
          <w:ilvl w:val="0"/>
          <w:numId w:val="13"/>
        </w:numPr>
        <w:spacing w:after="0" w:line="360" w:lineRule="auto"/>
        <w:ind w:left="-284" w:firstLine="284"/>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Выраженное ухудшение состояния пациента из-за нарастания тяжести заболевания или присоединения другого заболевания.</w:t>
      </w:r>
    </w:p>
    <w:p w:rsidR="00111DCE" w:rsidRPr="008849FA" w:rsidRDefault="00111DCE" w:rsidP="005146FA">
      <w:pPr>
        <w:numPr>
          <w:ilvl w:val="0"/>
          <w:numId w:val="13"/>
        </w:numPr>
        <w:spacing w:after="0" w:line="360" w:lineRule="auto"/>
        <w:ind w:left="-284" w:firstLine="284"/>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Появление у пациента критериев невключения во время исследования.</w:t>
      </w:r>
    </w:p>
    <w:p w:rsidR="00111DCE" w:rsidRPr="008849FA" w:rsidRDefault="00111DCE" w:rsidP="005146FA">
      <w:pPr>
        <w:numPr>
          <w:ilvl w:val="0"/>
          <w:numId w:val="13"/>
        </w:numPr>
        <w:spacing w:after="0" w:line="360" w:lineRule="auto"/>
        <w:ind w:left="-284" w:firstLine="284"/>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Желание пациента или его законного представителя.</w:t>
      </w:r>
    </w:p>
    <w:p w:rsidR="008849FA" w:rsidRDefault="008849FA" w:rsidP="005146FA">
      <w:pPr>
        <w:pStyle w:val="2"/>
        <w:spacing w:line="360" w:lineRule="auto"/>
        <w:ind w:left="-284" w:firstLine="284"/>
        <w:jc w:val="both"/>
        <w:rPr>
          <w:rFonts w:ascii="Times New Roman" w:hAnsi="Times New Roman" w:cs="Times New Roman"/>
          <w:b/>
          <w:bCs/>
          <w:color w:val="auto"/>
          <w:sz w:val="28"/>
          <w:szCs w:val="28"/>
        </w:rPr>
      </w:pPr>
    </w:p>
    <w:p w:rsidR="00111DCE" w:rsidRPr="008849FA" w:rsidRDefault="00111DCE" w:rsidP="005146FA">
      <w:pPr>
        <w:pStyle w:val="2"/>
        <w:spacing w:line="360" w:lineRule="auto"/>
        <w:ind w:left="-284" w:firstLine="284"/>
        <w:jc w:val="both"/>
        <w:rPr>
          <w:rFonts w:ascii="Times New Roman" w:hAnsi="Times New Roman" w:cs="Times New Roman"/>
          <w:b/>
          <w:bCs/>
          <w:color w:val="auto"/>
          <w:sz w:val="28"/>
          <w:szCs w:val="28"/>
        </w:rPr>
      </w:pPr>
      <w:r w:rsidRPr="008849FA">
        <w:rPr>
          <w:rFonts w:ascii="Times New Roman" w:hAnsi="Times New Roman" w:cs="Times New Roman"/>
          <w:b/>
          <w:bCs/>
          <w:color w:val="auto"/>
          <w:sz w:val="28"/>
          <w:szCs w:val="28"/>
        </w:rPr>
        <w:t>Оценка клинических данных пациентов перед включением в исследование</w:t>
      </w:r>
    </w:p>
    <w:p w:rsidR="00111DCE" w:rsidRPr="008849FA" w:rsidRDefault="00111DCE" w:rsidP="005146FA">
      <w:pPr>
        <w:pStyle w:val="af3"/>
        <w:spacing w:line="360" w:lineRule="auto"/>
        <w:ind w:left="-284" w:right="33" w:firstLine="284"/>
        <w:jc w:val="both"/>
        <w:rPr>
          <w:sz w:val="28"/>
          <w:szCs w:val="28"/>
          <w:lang w:eastAsia="en-US"/>
        </w:rPr>
      </w:pPr>
      <w:r w:rsidRPr="008849FA">
        <w:rPr>
          <w:sz w:val="28"/>
          <w:szCs w:val="28"/>
          <w:lang w:eastAsia="en-US"/>
        </w:rPr>
        <w:t>Перед включением пациентов в исследование, нами применялись следующие методы исследования:</w:t>
      </w:r>
    </w:p>
    <w:p w:rsidR="00111DCE" w:rsidRPr="008849FA" w:rsidRDefault="00111DCE" w:rsidP="005146FA">
      <w:pPr>
        <w:pStyle w:val="af3"/>
        <w:numPr>
          <w:ilvl w:val="0"/>
          <w:numId w:val="14"/>
        </w:numPr>
        <w:spacing w:after="0" w:line="360" w:lineRule="auto"/>
        <w:ind w:left="-284" w:right="33" w:firstLine="284"/>
        <w:jc w:val="both"/>
        <w:rPr>
          <w:sz w:val="28"/>
          <w:szCs w:val="28"/>
          <w:lang w:eastAsia="en-US"/>
        </w:rPr>
      </w:pPr>
      <w:r w:rsidRPr="008849FA">
        <w:rPr>
          <w:sz w:val="28"/>
          <w:szCs w:val="28"/>
          <w:lang w:eastAsia="en-US"/>
        </w:rPr>
        <w:t xml:space="preserve">анкетирование по опросникам МИЭФ-5, SEP, </w:t>
      </w:r>
      <w:proofErr w:type="spellStart"/>
      <w:r w:rsidRPr="008849FA">
        <w:rPr>
          <w:sz w:val="28"/>
          <w:szCs w:val="28"/>
          <w:lang w:eastAsia="en-US"/>
        </w:rPr>
        <w:t>shramek</w:t>
      </w:r>
      <w:proofErr w:type="spellEnd"/>
      <w:r w:rsidRPr="008849FA">
        <w:rPr>
          <w:sz w:val="28"/>
          <w:szCs w:val="28"/>
          <w:lang w:eastAsia="en-US"/>
        </w:rPr>
        <w:t>;</w:t>
      </w:r>
    </w:p>
    <w:p w:rsidR="00111DCE" w:rsidRPr="008849FA" w:rsidRDefault="00111DCE" w:rsidP="005146FA">
      <w:pPr>
        <w:pStyle w:val="af3"/>
        <w:numPr>
          <w:ilvl w:val="0"/>
          <w:numId w:val="14"/>
        </w:numPr>
        <w:spacing w:after="0" w:line="360" w:lineRule="auto"/>
        <w:ind w:left="-284" w:right="33" w:firstLine="284"/>
        <w:jc w:val="both"/>
        <w:rPr>
          <w:sz w:val="28"/>
          <w:szCs w:val="28"/>
          <w:lang w:eastAsia="en-US"/>
        </w:rPr>
      </w:pPr>
      <w:r w:rsidRPr="008849FA">
        <w:rPr>
          <w:sz w:val="28"/>
          <w:szCs w:val="28"/>
          <w:lang w:eastAsia="en-US"/>
        </w:rPr>
        <w:t xml:space="preserve">УЗИ </w:t>
      </w:r>
      <w:proofErr w:type="spellStart"/>
      <w:r w:rsidRPr="008849FA">
        <w:rPr>
          <w:sz w:val="28"/>
          <w:szCs w:val="28"/>
          <w:lang w:eastAsia="en-US"/>
        </w:rPr>
        <w:t>пенильного</w:t>
      </w:r>
      <w:proofErr w:type="spellEnd"/>
      <w:r w:rsidRPr="008849FA">
        <w:rPr>
          <w:sz w:val="28"/>
          <w:szCs w:val="28"/>
          <w:lang w:eastAsia="en-US"/>
        </w:rPr>
        <w:t xml:space="preserve"> кровотока с фармакологическим тестом;</w:t>
      </w:r>
    </w:p>
    <w:p w:rsidR="00111DCE" w:rsidRPr="008849FA" w:rsidRDefault="00111DCE" w:rsidP="005146FA">
      <w:pPr>
        <w:pStyle w:val="af3"/>
        <w:numPr>
          <w:ilvl w:val="0"/>
          <w:numId w:val="14"/>
        </w:numPr>
        <w:spacing w:after="0" w:line="360" w:lineRule="auto"/>
        <w:ind w:left="-284" w:right="33" w:firstLine="284"/>
        <w:jc w:val="both"/>
        <w:rPr>
          <w:sz w:val="28"/>
          <w:szCs w:val="28"/>
          <w:lang w:eastAsia="en-US"/>
        </w:rPr>
      </w:pPr>
      <w:proofErr w:type="spellStart"/>
      <w:r w:rsidRPr="008849FA">
        <w:rPr>
          <w:sz w:val="28"/>
          <w:szCs w:val="28"/>
          <w:lang w:eastAsia="en-US"/>
        </w:rPr>
        <w:t>физикальное</w:t>
      </w:r>
      <w:proofErr w:type="spellEnd"/>
      <w:r w:rsidRPr="008849FA">
        <w:rPr>
          <w:sz w:val="28"/>
          <w:szCs w:val="28"/>
          <w:lang w:eastAsia="en-US"/>
        </w:rPr>
        <w:t xml:space="preserve"> обследование с определением основных жизненно важных показателей (АД, ЧСС, ЧД, температура тела);</w:t>
      </w:r>
    </w:p>
    <w:p w:rsidR="00111DCE" w:rsidRPr="008849FA" w:rsidRDefault="00111DCE" w:rsidP="005146FA">
      <w:pPr>
        <w:pStyle w:val="af3"/>
        <w:numPr>
          <w:ilvl w:val="0"/>
          <w:numId w:val="14"/>
        </w:numPr>
        <w:spacing w:after="0" w:line="360" w:lineRule="auto"/>
        <w:ind w:left="-284" w:right="33" w:firstLine="284"/>
        <w:jc w:val="both"/>
        <w:rPr>
          <w:sz w:val="28"/>
          <w:szCs w:val="28"/>
          <w:lang w:eastAsia="en-US"/>
        </w:rPr>
      </w:pPr>
      <w:r w:rsidRPr="008849FA">
        <w:rPr>
          <w:sz w:val="28"/>
          <w:szCs w:val="28"/>
          <w:lang w:eastAsia="en-US"/>
        </w:rPr>
        <w:t>лабораторные (клинический анализ крови, биохимический анализ крови, исследование гормонального статуса, общий анализ мочи);</w:t>
      </w:r>
    </w:p>
    <w:p w:rsidR="00345295" w:rsidRDefault="00345295" w:rsidP="005146FA">
      <w:pPr>
        <w:pStyle w:val="af1"/>
        <w:tabs>
          <w:tab w:val="left" w:pos="142"/>
        </w:tabs>
        <w:spacing w:after="100" w:afterAutospacing="1" w:line="360" w:lineRule="auto"/>
        <w:ind w:left="-284" w:right="-7" w:firstLine="284"/>
        <w:contextualSpacing/>
        <w:jc w:val="both"/>
        <w:rPr>
          <w:rFonts w:ascii="Times New Roman" w:hAnsi="Times New Roman"/>
          <w:b/>
          <w:bCs/>
          <w:iCs/>
          <w:snapToGrid w:val="0"/>
          <w:sz w:val="28"/>
          <w:szCs w:val="28"/>
        </w:rPr>
      </w:pP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b/>
          <w:bCs/>
          <w:iCs/>
          <w:snapToGrid w:val="0"/>
          <w:sz w:val="28"/>
          <w:szCs w:val="28"/>
        </w:rPr>
      </w:pPr>
      <w:r w:rsidRPr="008849FA">
        <w:rPr>
          <w:rFonts w:ascii="Times New Roman" w:hAnsi="Times New Roman"/>
          <w:b/>
          <w:bCs/>
          <w:iCs/>
          <w:snapToGrid w:val="0"/>
          <w:sz w:val="28"/>
          <w:szCs w:val="28"/>
        </w:rPr>
        <w:t xml:space="preserve">Изучение жалоб, сбор анамнеза и </w:t>
      </w:r>
      <w:proofErr w:type="spellStart"/>
      <w:r w:rsidRPr="008849FA">
        <w:rPr>
          <w:rFonts w:ascii="Times New Roman" w:hAnsi="Times New Roman"/>
          <w:b/>
          <w:bCs/>
          <w:iCs/>
          <w:snapToGrid w:val="0"/>
          <w:sz w:val="28"/>
          <w:szCs w:val="28"/>
        </w:rPr>
        <w:t>физикальное</w:t>
      </w:r>
      <w:proofErr w:type="spellEnd"/>
      <w:r w:rsidRPr="008849FA">
        <w:rPr>
          <w:rFonts w:ascii="Times New Roman" w:hAnsi="Times New Roman"/>
          <w:b/>
          <w:bCs/>
          <w:iCs/>
          <w:snapToGrid w:val="0"/>
          <w:sz w:val="28"/>
          <w:szCs w:val="28"/>
        </w:rPr>
        <w:t xml:space="preserve"> обследование</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snapToGrid w:val="0"/>
          <w:sz w:val="28"/>
          <w:szCs w:val="28"/>
        </w:rPr>
      </w:pPr>
      <w:r w:rsidRPr="008849FA">
        <w:rPr>
          <w:rFonts w:ascii="Times New Roman" w:hAnsi="Times New Roman" w:cs="Times New Roman"/>
          <w:snapToGrid w:val="0"/>
          <w:sz w:val="28"/>
          <w:szCs w:val="28"/>
        </w:rPr>
        <w:t xml:space="preserve">Все больные подробно опрашивались на предмет характера жалоб, продолжительности заболевания, имеющихся сопутствующих заболеваний и проводившегося ранее лечения. </w:t>
      </w:r>
    </w:p>
    <w:p w:rsidR="00111DCE" w:rsidRPr="008849FA" w:rsidRDefault="00111DCE" w:rsidP="005146FA">
      <w:pPr>
        <w:tabs>
          <w:tab w:val="left" w:pos="142"/>
        </w:tabs>
        <w:spacing w:after="100" w:afterAutospacing="1" w:line="360" w:lineRule="auto"/>
        <w:ind w:left="-284" w:right="-7" w:firstLine="284"/>
        <w:contextualSpacing/>
        <w:jc w:val="both"/>
        <w:rPr>
          <w:rStyle w:val="s2"/>
          <w:rFonts w:ascii="Times New Roman" w:hAnsi="Times New Roman" w:cs="Times New Roman"/>
          <w:color w:val="000000" w:themeColor="text1"/>
          <w:sz w:val="28"/>
          <w:szCs w:val="28"/>
        </w:rPr>
      </w:pPr>
      <w:r w:rsidRPr="008849FA">
        <w:rPr>
          <w:rStyle w:val="s2"/>
          <w:rFonts w:ascii="Times New Roman" w:hAnsi="Times New Roman" w:cs="Times New Roman"/>
          <w:color w:val="000000" w:themeColor="text1"/>
          <w:sz w:val="28"/>
          <w:szCs w:val="28"/>
        </w:rPr>
        <w:t>Пациентам перед включением в исследование и после его проведения проведена оценка эректильной функции на основе опросников:</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 xml:space="preserve">1) шкалы оценки индекса эректильной функции – МИЭФ-5; </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lastRenderedPageBreak/>
        <w:t>2) шкалы оценки профиля половых отношений – опросник SEP (</w:t>
      </w:r>
      <w:proofErr w:type="spellStart"/>
      <w:r w:rsidRPr="008849FA">
        <w:rPr>
          <w:rFonts w:ascii="Times New Roman" w:hAnsi="Times New Roman" w:cs="Times New Roman"/>
          <w:color w:val="000000" w:themeColor="text1"/>
          <w:sz w:val="28"/>
          <w:szCs w:val="28"/>
        </w:rPr>
        <w:t>Sexual</w:t>
      </w:r>
      <w:proofErr w:type="spellEnd"/>
      <w:r w:rsidRPr="008849FA">
        <w:rPr>
          <w:rFonts w:ascii="Times New Roman" w:hAnsi="Times New Roman" w:cs="Times New Roman"/>
          <w:color w:val="000000" w:themeColor="text1"/>
          <w:sz w:val="28"/>
          <w:szCs w:val="28"/>
        </w:rPr>
        <w:t xml:space="preserve"> </w:t>
      </w:r>
      <w:proofErr w:type="spellStart"/>
      <w:r w:rsidRPr="008849FA">
        <w:rPr>
          <w:rFonts w:ascii="Times New Roman" w:hAnsi="Times New Roman" w:cs="Times New Roman"/>
          <w:color w:val="000000" w:themeColor="text1"/>
          <w:sz w:val="28"/>
          <w:szCs w:val="28"/>
        </w:rPr>
        <w:t>Encounter</w:t>
      </w:r>
      <w:proofErr w:type="spellEnd"/>
      <w:r w:rsidRPr="008849FA">
        <w:rPr>
          <w:rFonts w:ascii="Times New Roman" w:hAnsi="Times New Roman" w:cs="Times New Roman"/>
          <w:color w:val="000000" w:themeColor="text1"/>
          <w:sz w:val="28"/>
          <w:szCs w:val="28"/>
        </w:rPr>
        <w:t xml:space="preserve"> Profile) (оценка проводилась пациентом во время последнего полового акта перед контрольным визитом к врачу); </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 xml:space="preserve">3) шкалы оценки ригидности полового члена – </w:t>
      </w:r>
      <w:proofErr w:type="spellStart"/>
      <w:r w:rsidRPr="008849FA">
        <w:rPr>
          <w:rFonts w:ascii="Times New Roman" w:hAnsi="Times New Roman" w:cs="Times New Roman"/>
          <w:color w:val="000000" w:themeColor="text1"/>
          <w:sz w:val="28"/>
          <w:szCs w:val="28"/>
        </w:rPr>
        <w:t>Shramek</w:t>
      </w:r>
      <w:proofErr w:type="spellEnd"/>
      <w:r w:rsidRPr="008849FA">
        <w:rPr>
          <w:rFonts w:ascii="Times New Roman" w:hAnsi="Times New Roman" w:cs="Times New Roman"/>
          <w:color w:val="000000" w:themeColor="text1"/>
          <w:sz w:val="28"/>
          <w:szCs w:val="28"/>
        </w:rPr>
        <w:t xml:space="preserve"> (оценка проводилась пациентом во время последнего полового акта перед контрольным визитом к врачу). </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sz w:val="28"/>
          <w:szCs w:val="28"/>
        </w:rPr>
      </w:pPr>
      <w:r w:rsidRPr="008849FA">
        <w:rPr>
          <w:rFonts w:ascii="Times New Roman" w:hAnsi="Times New Roman" w:cs="Times New Roman"/>
          <w:sz w:val="28"/>
          <w:szCs w:val="28"/>
        </w:rPr>
        <w:t xml:space="preserve">Заполнение опросников осуществлялось по правилам </w:t>
      </w:r>
      <w:r w:rsidRPr="008849FA">
        <w:rPr>
          <w:rFonts w:ascii="Times New Roman" w:hAnsi="Times New Roman" w:cs="Times New Roman"/>
          <w:sz w:val="28"/>
          <w:szCs w:val="28"/>
          <w:lang w:val="en-US"/>
        </w:rPr>
        <w:t>GCP</w:t>
      </w:r>
      <w:r w:rsidRPr="008849FA">
        <w:rPr>
          <w:rFonts w:ascii="Times New Roman" w:hAnsi="Times New Roman" w:cs="Times New Roman"/>
          <w:sz w:val="28"/>
          <w:szCs w:val="28"/>
        </w:rPr>
        <w:t xml:space="preserve"> (</w:t>
      </w:r>
      <w:r w:rsidRPr="008849FA">
        <w:rPr>
          <w:rFonts w:ascii="Times New Roman" w:hAnsi="Times New Roman" w:cs="Times New Roman"/>
          <w:sz w:val="28"/>
          <w:szCs w:val="28"/>
          <w:lang w:val="en-US"/>
        </w:rPr>
        <w:t>Good</w:t>
      </w:r>
      <w:r w:rsidRPr="008849FA">
        <w:rPr>
          <w:rFonts w:ascii="Times New Roman" w:hAnsi="Times New Roman" w:cs="Times New Roman"/>
          <w:sz w:val="28"/>
          <w:szCs w:val="28"/>
        </w:rPr>
        <w:t xml:space="preserve"> </w:t>
      </w:r>
      <w:r w:rsidRPr="008849FA">
        <w:rPr>
          <w:rFonts w:ascii="Times New Roman" w:hAnsi="Times New Roman" w:cs="Times New Roman"/>
          <w:sz w:val="28"/>
          <w:szCs w:val="28"/>
          <w:lang w:val="en-US"/>
        </w:rPr>
        <w:t>Clinical</w:t>
      </w:r>
      <w:r w:rsidRPr="008849FA">
        <w:rPr>
          <w:rFonts w:ascii="Times New Roman" w:hAnsi="Times New Roman" w:cs="Times New Roman"/>
          <w:sz w:val="28"/>
          <w:szCs w:val="28"/>
        </w:rPr>
        <w:t xml:space="preserve"> </w:t>
      </w:r>
      <w:r w:rsidRPr="008849FA">
        <w:rPr>
          <w:rFonts w:ascii="Times New Roman" w:hAnsi="Times New Roman" w:cs="Times New Roman"/>
          <w:sz w:val="28"/>
          <w:szCs w:val="28"/>
          <w:lang w:val="en-US"/>
        </w:rPr>
        <w:t>Practice</w:t>
      </w:r>
      <w:r w:rsidRPr="008849FA">
        <w:rPr>
          <w:rFonts w:ascii="Times New Roman" w:hAnsi="Times New Roman" w:cs="Times New Roman"/>
          <w:sz w:val="28"/>
          <w:szCs w:val="28"/>
        </w:rPr>
        <w:t>), то есть без участия врача.</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color w:val="000000" w:themeColor="text1"/>
          <w:sz w:val="28"/>
          <w:szCs w:val="28"/>
        </w:rPr>
      </w:pPr>
      <w:r w:rsidRPr="008849FA">
        <w:rPr>
          <w:rFonts w:ascii="Times New Roman" w:hAnsi="Times New Roman" w:cs="Times New Roman"/>
          <w:color w:val="000000" w:themeColor="text1"/>
          <w:sz w:val="28"/>
          <w:szCs w:val="28"/>
        </w:rPr>
        <w:t>В ходе отбора пациентов проведен анализ сопутствующих заболеваний. Для получения более достоверной информации о терапевтической эффективности применяемой методики на время проведения процедур участниками прекращено использование препаратов ингибиторов ФДЭ-5.</w:t>
      </w:r>
    </w:p>
    <w:p w:rsidR="00111DCE" w:rsidRPr="008849FA" w:rsidRDefault="00111DCE" w:rsidP="005146FA">
      <w:pPr>
        <w:spacing w:line="360" w:lineRule="auto"/>
        <w:ind w:left="-284" w:firstLine="284"/>
        <w:jc w:val="both"/>
        <w:rPr>
          <w:rFonts w:ascii="Times New Roman" w:hAnsi="Times New Roman" w:cs="Times New Roman"/>
          <w:b/>
          <w:sz w:val="28"/>
          <w:szCs w:val="28"/>
        </w:rPr>
      </w:pPr>
      <w:proofErr w:type="spellStart"/>
      <w:r w:rsidRPr="008849FA">
        <w:rPr>
          <w:rFonts w:ascii="Times New Roman" w:hAnsi="Times New Roman" w:cs="Times New Roman"/>
          <w:b/>
          <w:sz w:val="28"/>
          <w:szCs w:val="28"/>
        </w:rPr>
        <w:t>Физикальное</w:t>
      </w:r>
      <w:proofErr w:type="spellEnd"/>
      <w:r w:rsidRPr="008849FA">
        <w:rPr>
          <w:rFonts w:ascii="Times New Roman" w:hAnsi="Times New Roman" w:cs="Times New Roman"/>
          <w:b/>
          <w:sz w:val="28"/>
          <w:szCs w:val="28"/>
        </w:rPr>
        <w:t xml:space="preserve"> обследование</w:t>
      </w:r>
    </w:p>
    <w:p w:rsidR="00111DCE" w:rsidRPr="008849FA" w:rsidRDefault="00111DCE" w:rsidP="005146FA">
      <w:pPr>
        <w:spacing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Полное </w:t>
      </w:r>
      <w:proofErr w:type="spellStart"/>
      <w:r w:rsidRPr="008849FA">
        <w:rPr>
          <w:rFonts w:ascii="Times New Roman" w:hAnsi="Times New Roman" w:cs="Times New Roman"/>
          <w:sz w:val="28"/>
          <w:szCs w:val="28"/>
        </w:rPr>
        <w:t>физикальное</w:t>
      </w:r>
      <w:proofErr w:type="spellEnd"/>
      <w:r w:rsidRPr="008849FA">
        <w:rPr>
          <w:rFonts w:ascii="Times New Roman" w:hAnsi="Times New Roman" w:cs="Times New Roman"/>
          <w:sz w:val="28"/>
          <w:szCs w:val="28"/>
        </w:rPr>
        <w:t xml:space="preserve"> обследование включало: осмотр кожных покровов и видимых слизистых, оценку состояния опорно-двигательного аппарата, лимфатических узлов, щитовидной железы, ЛОР-органов, аускультацию сердца и легких, исследование области живота, почек, центральной нервной системы и психики. </w:t>
      </w:r>
    </w:p>
    <w:p w:rsidR="00111DCE" w:rsidRPr="008849FA" w:rsidRDefault="00111DCE" w:rsidP="005146FA">
      <w:pPr>
        <w:spacing w:line="360" w:lineRule="auto"/>
        <w:ind w:left="-284"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При </w:t>
      </w:r>
      <w:proofErr w:type="spellStart"/>
      <w:r w:rsidRPr="008849FA">
        <w:rPr>
          <w:rFonts w:ascii="Times New Roman" w:hAnsi="Times New Roman" w:cs="Times New Roman"/>
          <w:sz w:val="28"/>
          <w:szCs w:val="28"/>
        </w:rPr>
        <w:t>физикальном</w:t>
      </w:r>
      <w:proofErr w:type="spellEnd"/>
      <w:r w:rsidRPr="008849FA">
        <w:rPr>
          <w:rFonts w:ascii="Times New Roman" w:hAnsi="Times New Roman" w:cs="Times New Roman"/>
          <w:sz w:val="28"/>
          <w:szCs w:val="28"/>
        </w:rPr>
        <w:t xml:space="preserve"> обследовании мочеполовой системы пациента особое внимание уделялось половому члену (наличие фиброза, патологических узлов, функциональная длина органа (наличие «захороненного» или «перепончатого» полового члена), соблюдение правил личной гигиены (в т.ч. состояние крайней плоти), органам мошонки (размеры, консистенция, болезненность и симметрия яичек, наличие в них очаговых изменений), а также выраженности вторичных половых признаков: наличию гинекомастии, распределению жировой клетчатки и типу оволосения. В выявлении возможной сосудистой причины ЭД помогает измерение величины артериального давления и частоты пульса на периферических артериях, а также предварительный осмотр печени и нижних конечностей для выявления признаков венозного застоя.</w:t>
      </w:r>
    </w:p>
    <w:p w:rsidR="00111DCE" w:rsidRPr="008849FA" w:rsidRDefault="00111DCE" w:rsidP="005146FA">
      <w:pPr>
        <w:pStyle w:val="Paragraph"/>
        <w:spacing w:after="0" w:line="360" w:lineRule="auto"/>
        <w:ind w:left="-284" w:right="113" w:firstLine="284"/>
        <w:jc w:val="both"/>
        <w:rPr>
          <w:b/>
          <w:sz w:val="28"/>
          <w:szCs w:val="28"/>
          <w:lang w:val="ru-RU"/>
        </w:rPr>
      </w:pPr>
      <w:r w:rsidRPr="008849FA">
        <w:rPr>
          <w:b/>
          <w:sz w:val="28"/>
          <w:szCs w:val="28"/>
          <w:lang w:val="ru-RU"/>
        </w:rPr>
        <w:lastRenderedPageBreak/>
        <w:t xml:space="preserve">Ультразвуковое исследование </w:t>
      </w:r>
      <w:proofErr w:type="spellStart"/>
      <w:r w:rsidRPr="008849FA">
        <w:rPr>
          <w:b/>
          <w:sz w:val="28"/>
          <w:szCs w:val="28"/>
          <w:lang w:val="ru-RU"/>
        </w:rPr>
        <w:t>пенильного</w:t>
      </w:r>
      <w:proofErr w:type="spellEnd"/>
      <w:r w:rsidRPr="008849FA">
        <w:rPr>
          <w:b/>
          <w:sz w:val="28"/>
          <w:szCs w:val="28"/>
          <w:lang w:val="ru-RU"/>
        </w:rPr>
        <w:t xml:space="preserve"> кровотока с </w:t>
      </w:r>
      <w:proofErr w:type="spellStart"/>
      <w:r w:rsidRPr="008849FA">
        <w:rPr>
          <w:b/>
          <w:sz w:val="28"/>
          <w:szCs w:val="28"/>
          <w:lang w:val="ru-RU"/>
        </w:rPr>
        <w:t>фармакопробой</w:t>
      </w:r>
      <w:proofErr w:type="spellEnd"/>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color w:val="000000" w:themeColor="text1"/>
          <w:sz w:val="28"/>
          <w:szCs w:val="28"/>
        </w:rPr>
        <w:t>Перед включением в исследование и на 9-ой неделе после начала лечения всем участникам исследования выполнена ультразвуковая допплерография сосудов полового члена с фармакологической нагрузкой (</w:t>
      </w:r>
      <w:proofErr w:type="spellStart"/>
      <w:r w:rsidRPr="008849FA">
        <w:rPr>
          <w:rFonts w:ascii="Times New Roman" w:hAnsi="Times New Roman" w:cs="Times New Roman"/>
          <w:sz w:val="28"/>
          <w:szCs w:val="28"/>
        </w:rPr>
        <w:t>алпростадил</w:t>
      </w:r>
      <w:proofErr w:type="spellEnd"/>
      <w:r w:rsidRPr="008849FA">
        <w:rPr>
          <w:rFonts w:ascii="Times New Roman" w:hAnsi="Times New Roman" w:cs="Times New Roman"/>
          <w:color w:val="000000" w:themeColor="text1"/>
          <w:sz w:val="28"/>
          <w:szCs w:val="28"/>
        </w:rPr>
        <w:t xml:space="preserve"> в дозе 10 мкг) с оценкой времени ответа на препарат и времени </w:t>
      </w:r>
      <w:proofErr w:type="spellStart"/>
      <w:r w:rsidRPr="008849FA">
        <w:rPr>
          <w:rFonts w:ascii="Times New Roman" w:hAnsi="Times New Roman" w:cs="Times New Roman"/>
          <w:color w:val="000000" w:themeColor="text1"/>
          <w:sz w:val="28"/>
          <w:szCs w:val="28"/>
        </w:rPr>
        <w:t>детумесценции</w:t>
      </w:r>
      <w:proofErr w:type="spellEnd"/>
      <w:r w:rsidRPr="008849FA">
        <w:rPr>
          <w:rFonts w:ascii="Times New Roman" w:hAnsi="Times New Roman" w:cs="Times New Roman"/>
          <w:color w:val="000000" w:themeColor="text1"/>
          <w:sz w:val="28"/>
          <w:szCs w:val="28"/>
        </w:rPr>
        <w:t xml:space="preserve">. </w:t>
      </w:r>
      <w:r w:rsidRPr="008849FA">
        <w:rPr>
          <w:rFonts w:ascii="Times New Roman" w:hAnsi="Times New Roman" w:cs="Times New Roman"/>
          <w:sz w:val="28"/>
          <w:szCs w:val="28"/>
        </w:rPr>
        <w:t xml:space="preserve">Ультразвуковое исследование </w:t>
      </w:r>
      <w:proofErr w:type="spellStart"/>
      <w:r w:rsidRPr="008849FA">
        <w:rPr>
          <w:rFonts w:ascii="Times New Roman" w:hAnsi="Times New Roman" w:cs="Times New Roman"/>
          <w:sz w:val="28"/>
          <w:szCs w:val="28"/>
        </w:rPr>
        <w:t>пенильного</w:t>
      </w:r>
      <w:proofErr w:type="spellEnd"/>
      <w:r w:rsidRPr="008849FA">
        <w:rPr>
          <w:rFonts w:ascii="Times New Roman" w:hAnsi="Times New Roman" w:cs="Times New Roman"/>
          <w:sz w:val="28"/>
          <w:szCs w:val="28"/>
        </w:rPr>
        <w:t xml:space="preserve"> кровотока проводилось с помощью ультразвукового сканера c датчиками 5–14 МГц с использованием: В–режима, триплексного режима и </w:t>
      </w:r>
      <w:r w:rsidRPr="008849FA">
        <w:rPr>
          <w:rFonts w:ascii="Times New Roman" w:hAnsi="Times New Roman" w:cs="Times New Roman"/>
          <w:i/>
          <w:iCs/>
          <w:sz w:val="28"/>
          <w:szCs w:val="28"/>
        </w:rPr>
        <w:t>B–</w:t>
      </w:r>
      <w:proofErr w:type="spellStart"/>
      <w:r w:rsidRPr="008849FA">
        <w:rPr>
          <w:rFonts w:ascii="Times New Roman" w:hAnsi="Times New Roman" w:cs="Times New Roman"/>
          <w:i/>
          <w:iCs/>
          <w:sz w:val="28"/>
          <w:szCs w:val="28"/>
        </w:rPr>
        <w:t>flow</w:t>
      </w:r>
      <w:proofErr w:type="spellEnd"/>
      <w:r w:rsidRPr="008849FA">
        <w:rPr>
          <w:rFonts w:ascii="Times New Roman" w:hAnsi="Times New Roman" w:cs="Times New Roman"/>
          <w:sz w:val="28"/>
          <w:szCs w:val="28"/>
        </w:rPr>
        <w:t xml:space="preserve">.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Для оценки кровотока определялись следующие показатели: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 пиковая систолическая скорость кровотока </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maxs</w:t>
      </w:r>
      <w:proofErr w:type="spellEnd"/>
      <w:r w:rsidRPr="008849FA">
        <w:rPr>
          <w:rFonts w:ascii="Times New Roman" w:hAnsi="Times New Roman" w:cs="Times New Roman"/>
          <w:sz w:val="28"/>
          <w:szCs w:val="28"/>
        </w:rPr>
        <w:t xml:space="preserve"> – максимальная скорость кровотока в систолу;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 максимальная конечная диастолическая скорость кровотока </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endd</w:t>
      </w:r>
      <w:proofErr w:type="spellEnd"/>
      <w:r w:rsidRPr="008849FA">
        <w:rPr>
          <w:rFonts w:ascii="Times New Roman" w:hAnsi="Times New Roman" w:cs="Times New Roman"/>
          <w:sz w:val="28"/>
          <w:szCs w:val="28"/>
        </w:rPr>
        <w:t xml:space="preserve"> – максимальная скорость кровотока в диастолу;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 усредненная по времени максимальная скорость кровотока–TAMX–усреднение скоростных составляющих огибающей допплеровского спектра за один сердечный цикл;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 индекс периферического сопротивления </w:t>
      </w:r>
      <w:proofErr w:type="gramStart"/>
      <w:r w:rsidRPr="008849FA">
        <w:rPr>
          <w:rFonts w:ascii="Times New Roman" w:hAnsi="Times New Roman" w:cs="Times New Roman"/>
          <w:sz w:val="28"/>
          <w:szCs w:val="28"/>
        </w:rPr>
        <w:t>–  RI</w:t>
      </w:r>
      <w:proofErr w:type="gramEnd"/>
      <w:r w:rsidRPr="008849FA">
        <w:rPr>
          <w:rFonts w:ascii="Times New Roman" w:hAnsi="Times New Roman" w:cs="Times New Roman"/>
          <w:sz w:val="28"/>
          <w:szCs w:val="28"/>
        </w:rPr>
        <w:t>=(</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maxs</w:t>
      </w:r>
      <w:proofErr w:type="spellEnd"/>
      <w:r w:rsidRPr="008849FA">
        <w:rPr>
          <w:rFonts w:ascii="Times New Roman" w:hAnsi="Times New Roman" w:cs="Times New Roman"/>
          <w:sz w:val="28"/>
          <w:szCs w:val="28"/>
        </w:rPr>
        <w:t>–</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endd</w:t>
      </w:r>
      <w:proofErr w:type="spellEnd"/>
      <w:r w:rsidRPr="008849FA">
        <w:rPr>
          <w:rFonts w:ascii="Times New Roman" w:hAnsi="Times New Roman" w:cs="Times New Roman"/>
          <w:sz w:val="28"/>
          <w:szCs w:val="28"/>
        </w:rPr>
        <w:t>)/</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maxs</w:t>
      </w:r>
      <w:proofErr w:type="spellEnd"/>
      <w:r w:rsidRPr="008849FA">
        <w:rPr>
          <w:rFonts w:ascii="Times New Roman" w:hAnsi="Times New Roman" w:cs="Times New Roman"/>
          <w:sz w:val="28"/>
          <w:szCs w:val="28"/>
        </w:rPr>
        <w:t xml:space="preserve">;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индекс пульсации PI=(</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maxs</w:t>
      </w:r>
      <w:proofErr w:type="spellEnd"/>
      <w:r w:rsidRPr="008849FA">
        <w:rPr>
          <w:rFonts w:ascii="Times New Roman" w:hAnsi="Times New Roman" w:cs="Times New Roman"/>
          <w:sz w:val="28"/>
          <w:szCs w:val="28"/>
        </w:rPr>
        <w:t>–</w:t>
      </w:r>
      <w:proofErr w:type="spellStart"/>
      <w:r w:rsidRPr="008849FA">
        <w:rPr>
          <w:rFonts w:ascii="Times New Roman" w:hAnsi="Times New Roman" w:cs="Times New Roman"/>
          <w:sz w:val="28"/>
          <w:szCs w:val="28"/>
        </w:rPr>
        <w:t>V</w:t>
      </w:r>
      <w:r w:rsidRPr="008849FA">
        <w:rPr>
          <w:rFonts w:ascii="Times New Roman" w:hAnsi="Times New Roman" w:cs="Times New Roman"/>
          <w:sz w:val="28"/>
          <w:szCs w:val="28"/>
          <w:vertAlign w:val="subscript"/>
        </w:rPr>
        <w:t>endd</w:t>
      </w:r>
      <w:proofErr w:type="spellEnd"/>
      <w:r w:rsidRPr="008849FA">
        <w:rPr>
          <w:rFonts w:ascii="Times New Roman" w:hAnsi="Times New Roman" w:cs="Times New Roman"/>
          <w:sz w:val="28"/>
          <w:szCs w:val="28"/>
        </w:rPr>
        <w:t xml:space="preserve">)/TAMX.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t xml:space="preserve">Дополнительно для оценки гемодинамических факторов эрекции использовались: прирост </w:t>
      </w:r>
      <w:r w:rsidRPr="008849FA">
        <w:rPr>
          <w:rFonts w:ascii="Times New Roman" w:hAnsi="Times New Roman" w:cs="Times New Roman"/>
          <w:bCs/>
          <w:sz w:val="28"/>
          <w:szCs w:val="28"/>
        </w:rPr>
        <w:t>эректильной</w:t>
      </w:r>
      <w:r w:rsidRPr="008849FA">
        <w:rPr>
          <w:rFonts w:ascii="Times New Roman" w:hAnsi="Times New Roman" w:cs="Times New Roman"/>
          <w:sz w:val="28"/>
          <w:szCs w:val="28"/>
        </w:rPr>
        <w:t xml:space="preserve"> площади кавернозных тел в стадию тумесценции, определение градиентов пиковой систолической скорости кровотока, коэффициентов индекса пульсации KPI и периферического сопротивления KRI. Градиентные изменения линейных показателей кровотока, такие как коэффициенты максимальной скорости кровотока </w:t>
      </w:r>
      <w:proofErr w:type="spellStart"/>
      <w:r w:rsidRPr="008849FA">
        <w:rPr>
          <w:rFonts w:ascii="Times New Roman" w:hAnsi="Times New Roman" w:cs="Times New Roman"/>
          <w:sz w:val="28"/>
          <w:szCs w:val="28"/>
        </w:rPr>
        <w:t>КV</w:t>
      </w:r>
      <w:r w:rsidRPr="008849FA">
        <w:rPr>
          <w:rFonts w:ascii="Times New Roman" w:hAnsi="Times New Roman" w:cs="Times New Roman"/>
          <w:sz w:val="28"/>
          <w:szCs w:val="28"/>
          <w:vertAlign w:val="subscript"/>
        </w:rPr>
        <w:t>maxs</w:t>
      </w:r>
      <w:proofErr w:type="spellEnd"/>
      <w:r w:rsidRPr="008849FA">
        <w:rPr>
          <w:rFonts w:ascii="Times New Roman" w:hAnsi="Times New Roman" w:cs="Times New Roman"/>
          <w:sz w:val="28"/>
          <w:szCs w:val="28"/>
        </w:rPr>
        <w:t xml:space="preserve">, КRI, КPI, определялись дробное отношение данного критерия в стадии тумесценции к значению в состоянии релаксации. </w:t>
      </w:r>
    </w:p>
    <w:p w:rsidR="00111DCE" w:rsidRPr="008849FA" w:rsidRDefault="00111DCE" w:rsidP="005146FA">
      <w:pPr>
        <w:spacing w:line="360" w:lineRule="auto"/>
        <w:ind w:left="-284" w:right="113" w:firstLine="284"/>
        <w:jc w:val="both"/>
        <w:rPr>
          <w:rFonts w:ascii="Times New Roman" w:hAnsi="Times New Roman" w:cs="Times New Roman"/>
          <w:sz w:val="28"/>
          <w:szCs w:val="28"/>
        </w:rPr>
      </w:pPr>
      <w:r w:rsidRPr="008849FA">
        <w:rPr>
          <w:rFonts w:ascii="Times New Roman" w:hAnsi="Times New Roman" w:cs="Times New Roman"/>
          <w:sz w:val="28"/>
          <w:szCs w:val="28"/>
        </w:rPr>
        <w:lastRenderedPageBreak/>
        <w:t xml:space="preserve">Обследование проводилось в 2 этапа. На первом этапе исследовался базовый кровоток полового члена. На втором этапе больные принимали 10 мкг препарата </w:t>
      </w:r>
      <w:proofErr w:type="spellStart"/>
      <w:r w:rsidRPr="008849FA">
        <w:rPr>
          <w:rFonts w:ascii="Times New Roman" w:hAnsi="Times New Roman" w:cs="Times New Roman"/>
          <w:sz w:val="28"/>
          <w:szCs w:val="28"/>
        </w:rPr>
        <w:t>Алпростадил</w:t>
      </w:r>
      <w:proofErr w:type="spellEnd"/>
      <w:r w:rsidRPr="008849FA">
        <w:rPr>
          <w:rFonts w:ascii="Times New Roman" w:hAnsi="Times New Roman" w:cs="Times New Roman"/>
          <w:sz w:val="28"/>
          <w:szCs w:val="28"/>
        </w:rPr>
        <w:t xml:space="preserve">. Через 60 минут после приема препарата пациент проводил </w:t>
      </w:r>
      <w:proofErr w:type="spellStart"/>
      <w:r w:rsidRPr="008849FA">
        <w:rPr>
          <w:rFonts w:ascii="Times New Roman" w:hAnsi="Times New Roman" w:cs="Times New Roman"/>
          <w:sz w:val="28"/>
          <w:szCs w:val="28"/>
        </w:rPr>
        <w:t>аутомануальную</w:t>
      </w:r>
      <w:proofErr w:type="spellEnd"/>
      <w:r w:rsidRPr="008849FA">
        <w:rPr>
          <w:rFonts w:ascii="Times New Roman" w:hAnsi="Times New Roman" w:cs="Times New Roman"/>
          <w:sz w:val="28"/>
          <w:szCs w:val="28"/>
        </w:rPr>
        <w:t xml:space="preserve"> стимуляцию полового члена. При достижении эрекции для контроля ее качества проводилось повторное УЗИ </w:t>
      </w:r>
      <w:proofErr w:type="spellStart"/>
      <w:r w:rsidRPr="008849FA">
        <w:rPr>
          <w:rFonts w:ascii="Times New Roman" w:hAnsi="Times New Roman" w:cs="Times New Roman"/>
          <w:sz w:val="28"/>
          <w:szCs w:val="28"/>
        </w:rPr>
        <w:t>пенильного</w:t>
      </w:r>
      <w:proofErr w:type="spellEnd"/>
      <w:r w:rsidRPr="008849FA">
        <w:rPr>
          <w:rFonts w:ascii="Times New Roman" w:hAnsi="Times New Roman" w:cs="Times New Roman"/>
          <w:sz w:val="28"/>
          <w:szCs w:val="28"/>
        </w:rPr>
        <w:t xml:space="preserve"> кровотока. </w:t>
      </w:r>
      <w:r w:rsidRPr="008849FA">
        <w:rPr>
          <w:rFonts w:ascii="Times New Roman" w:hAnsi="Times New Roman" w:cs="Times New Roman"/>
          <w:color w:val="000000" w:themeColor="text1"/>
          <w:sz w:val="28"/>
          <w:szCs w:val="28"/>
        </w:rPr>
        <w:t xml:space="preserve">После </w:t>
      </w:r>
      <w:proofErr w:type="spellStart"/>
      <w:r w:rsidRPr="008849FA">
        <w:rPr>
          <w:rFonts w:ascii="Times New Roman" w:hAnsi="Times New Roman" w:cs="Times New Roman"/>
          <w:color w:val="000000" w:themeColor="text1"/>
          <w:sz w:val="28"/>
          <w:szCs w:val="28"/>
        </w:rPr>
        <w:t>интракавернозного</w:t>
      </w:r>
      <w:proofErr w:type="spellEnd"/>
      <w:r w:rsidRPr="008849FA">
        <w:rPr>
          <w:rFonts w:ascii="Times New Roman" w:hAnsi="Times New Roman" w:cs="Times New Roman"/>
          <w:color w:val="000000" w:themeColor="text1"/>
          <w:sz w:val="28"/>
          <w:szCs w:val="28"/>
        </w:rPr>
        <w:t xml:space="preserve"> введения вазоактивного препарата осуществлена регистрация цифровых показателей кровотока по кавернозным артериям (КА): оценены такие показатели как пиковая систолическая скорость (ПСС, см/сек) после фармакологической нагрузки (значение более 25 см/сек считалось нормальным) </w:t>
      </w:r>
      <w:r w:rsidRPr="008849FA">
        <w:rPr>
          <w:rFonts w:ascii="Times New Roman" w:hAnsi="Times New Roman" w:cs="Times New Roman"/>
          <w:color w:val="000000" w:themeColor="text1"/>
          <w:sz w:val="28"/>
          <w:szCs w:val="28"/>
        </w:rPr>
        <w:fldChar w:fldCharType="begin" w:fldLock="1"/>
      </w:r>
      <w:r w:rsidR="00347E31" w:rsidRPr="008849FA">
        <w:rPr>
          <w:rFonts w:ascii="Times New Roman" w:hAnsi="Times New Roman" w:cs="Times New Roman"/>
          <w:color w:val="000000" w:themeColor="text1"/>
          <w:sz w:val="28"/>
          <w:szCs w:val="28"/>
        </w:rPr>
        <w:instrText>ADDIN CSL_CITATION {"citationItems":[{"id":"ITEM-1","itemData":{"DOI":"10.1016/j.eururo.2021.06.007","ISSN":"18737560","PMID":"34183196","abstract":"Context: The present summary of the European Association of Urology (EAU) guidelines is based on the latest guidelines on male sexual health published in March 2021, with a last comprehensive update in January 2021. Objective: To present a summary of the 2021 version of the EAU guidelines on sexual and reproductive health. Evidence acquisition: A literature review was performed up to January 2021. The guidelines were updated, and a strength rating for each recommendation was included based on either a systematic review of the evidence or a consensus opinion from the expert panel. Evidence synthesis: Late-onset hypogonadism is a clinical condition in the ageing male combining low levels of circulating testosterone and specific symptoms associated with impaired hormone production and/or action. A comprehensive diagnostic and therapeutic work-up, along with screening recommendations and contraindications, is provided. Erectile dysfunction (ED) is the persistent inability to attain and maintain an erection sufficient to permit satisfactory sexual performance. Along with a detailed basic and advanced diagnostic approach, a novel decision-making algorithm for treating ED in order to better tailor therapy to individual patients is provided. The EAU guidelines have adopted the definition of premature ejaculation (PE), which has been developed by the International Society for Sexual Medicine. After the subtype of PE has been defined, patient's expectations should be discussed thoroughly and pharmacotherapy must be considered as the first-line treatment for patients with lifelong PE, whereas treating the underlying cause must be the initial goal for patients with acquired PE. Haemospermia is defined as the appearance of blood in the ejaculate. Several reasons of haemospermia have been acknowledged; the primary goal over the management work-up is to exclude malignant conditions and treat any other underlying cause. Conclusions: The 2021 guidelines on sexual and reproductive health summarise the most recent findings, and advise in terms of diagnosis and treatment of male hypogonadism and sexual dysfunction for their use in clinical practice. These guidelines reflect the multidisciplinary nature of their management. Patient summary: Updated European Association of Urology guidelines on sexual and reproductive health are presented, addressing the diagnosis and treatment of the most prevalent conditions in men. Patients must be fully informed of all relevant diagnosti…","author":[{"dropping-particle":"","family":"Salonia","given":"Andrea","non-dropping-particle":"","parse-names":false,"suffix":""},{"dropping-particle":"","family":"Bettocchi","given":"Carlo","non-dropping-particle":"","parse-names":false,"suffix":""},{"dropping-particle":"","family":"Boeri","given":"Luca","non-dropping-particle":"","parse-names":false,"suffix":""},{"dropping-particle":"","family":"Capogrosso","given":"Paolo","non-dropping-particle":"","parse-names":false,"suffix":""},{"dropping-particle":"","family":"Carvalho","given":"Joana","non-dropping-particle":"","parse-names":false,"suffix":""},{"dropping-particle":"","family":"Cilesiz","given":"Nusret Can","non-dropping-particle":"","parse-names":false,"suffix":""},{"dropping-particle":"","family":"Cocci","given":"Andrea","non-dropping-particle":"","parse-names":false,"suffix":""},{"dropping-particle":"","family":"Corona","given":"Giovanni","non-dropping-particle":"","parse-names":false,"suffix":""},{"dropping-particle":"","family":"Dimitropoulos","given":"Kostantinos","non-dropping-particle":"","parse-names":false,"suffix":""},{"dropping-particle":"","family":"Gül","given":"Murat","non-dropping-particle":"","parse-names":false,"suffix":""},{"dropping-particle":"","family":"Hatzichristodoulou","given":"Georgios","non-dropping-particle":"","parse-names":false,"suffix":""},{"dropping-particle":"","family":"Jones","given":"T. Hugh","non-dropping-particle":"","parse-names":false,"suffix":""},{"dropping-particle":"","family":"Kadioglu","given":"Ates","non-dropping-particle":"","parse-names":false,"suffix":""},{"dropping-particle":"","family":"Martínez Salamanca","given":"Juan Ignatio","non-dropping-particle":"","parse-names":false,"suffix":""},{"dropping-particle":"","family":"Milenkovic","given":"Uros","non-dropping-particle":"","parse-names":false,"suffix":""},{"dropping-particle":"","family":"Modgil","given":"Vaibhav","non-dropping-particle":"","parse-names":false,"suffix":""},{"dropping-particle":"","family":"Russo","given":"Giorgio Ivan","non-dropping-particle":"","parse-names":false,"suffix":""},{"dropping-particle":"","family":"Serefoglu","given":"Ege Can","non-dropping-particle":"","parse-names":false,"suffix":""},{"dropping-particle":"","family":"Tharakan","given":"Tharu","non-dropping-particle":"","parse-names":false,"suffix":""},{"dropping-particle":"","family":"Verze","given":"Paolo","non-dropping-particle":"","parse-names":false,"suffix":""},{"dropping-particle":"","family":"Minhas","given":"Suks","non-dropping-particle":"","parse-names":false,"suffix":""}],"container-title":"European Urology","id":"ITEM-1","issue":"3","issued":{"date-parts":[["2021"]]},"page":"333-357","title":"European Association of Urology Guidelines on Sexual and Reproductive Health—2021 Update: Male Sexual Dysfunction[Formula presented]","type":"article-journal","volume":"80"},"uris":["http://www.mendeley.com/documents/?uuid=ff3a1961-da56-45f9-b9da-90c8ee9ceaae"]}],"mendeley":{"formattedCitation":"[27]"},"properties":{"noteIndex":0},"schema":"https://github.com/citation-style-language/schema/raw/master/csl-citation.json"}</w:instrText>
      </w:r>
      <w:r w:rsidRPr="008849FA">
        <w:rPr>
          <w:rFonts w:ascii="Times New Roman" w:hAnsi="Times New Roman" w:cs="Times New Roman"/>
          <w:color w:val="000000" w:themeColor="text1"/>
          <w:sz w:val="28"/>
          <w:szCs w:val="28"/>
        </w:rPr>
        <w:fldChar w:fldCharType="separate"/>
      </w:r>
      <w:r w:rsidR="00347E31" w:rsidRPr="008849FA">
        <w:rPr>
          <w:rFonts w:ascii="Times New Roman" w:hAnsi="Times New Roman" w:cs="Times New Roman"/>
          <w:noProof/>
          <w:color w:val="000000" w:themeColor="text1"/>
          <w:sz w:val="28"/>
          <w:szCs w:val="28"/>
        </w:rPr>
        <w:t>[27]</w:t>
      </w:r>
      <w:r w:rsidRPr="008849FA">
        <w:rPr>
          <w:rFonts w:ascii="Times New Roman" w:hAnsi="Times New Roman" w:cs="Times New Roman"/>
          <w:color w:val="000000" w:themeColor="text1"/>
          <w:sz w:val="28"/>
          <w:szCs w:val="28"/>
        </w:rPr>
        <w:fldChar w:fldCharType="end"/>
      </w:r>
      <w:r w:rsidRPr="008849FA">
        <w:rPr>
          <w:rFonts w:ascii="Times New Roman" w:hAnsi="Times New Roman" w:cs="Times New Roman"/>
          <w:color w:val="000000" w:themeColor="text1"/>
          <w:sz w:val="28"/>
          <w:szCs w:val="28"/>
        </w:rPr>
        <w:t xml:space="preserve">, показатель конечной диастолической скорости (КДС, см/сек) кровотока после фармакологической нагрузки (значения не более 5 см/сек - норма) </w:t>
      </w:r>
      <w:r w:rsidRPr="008849FA">
        <w:rPr>
          <w:rFonts w:ascii="Times New Roman" w:hAnsi="Times New Roman" w:cs="Times New Roman"/>
          <w:color w:val="000000" w:themeColor="text1"/>
          <w:sz w:val="28"/>
          <w:szCs w:val="28"/>
        </w:rPr>
        <w:fldChar w:fldCharType="begin" w:fldLock="1"/>
      </w:r>
      <w:r w:rsidR="00347E31" w:rsidRPr="008849FA">
        <w:rPr>
          <w:rFonts w:ascii="Times New Roman" w:hAnsi="Times New Roman" w:cs="Times New Roman"/>
          <w:color w:val="000000" w:themeColor="text1"/>
          <w:sz w:val="28"/>
          <w:szCs w:val="28"/>
        </w:rPr>
        <w:instrText>ADDIN CSL_CITATION {"citationItems":[{"id":"ITEM-1","itemData":{"DOI":"10.1016/j.eururo.2021.06.007","ISSN":"18737560","PMID":"34183196","abstract":"Context: The present summary of the European Association of Urology (EAU) guidelines is based on the latest guidelines on male sexual health published in March 2021, with a last comprehensive update in January 2021. Objective: To present a summary of the 2021 version of the EAU guidelines on sexual and reproductive health. Evidence acquisition: A literature review was performed up to January 2021. The guidelines were updated, and a strength rating for each recommendation was included based on either a systematic review of the evidence or a consensus opinion from the expert panel. Evidence synthesis: Late-onset hypogonadism is a clinical condition in the ageing male combining low levels of circulating testosterone and specific symptoms associated with impaired hormone production and/or action. A comprehensive diagnostic and therapeutic work-up, along with screening recommendations and contraindications, is provided. Erectile dysfunction (ED) is the persistent inability to attain and maintain an erection sufficient to permit satisfactory sexual performance. Along with a detailed basic and advanced diagnostic approach, a novel decision-making algorithm for treating ED in order to better tailor therapy to individual patients is provided. The EAU guidelines have adopted the definition of premature ejaculation (PE), which has been developed by the International Society for Sexual Medicine. After the subtype of PE has been defined, patient's expectations should be discussed thoroughly and pharmacotherapy must be considered as the first-line treatment for patients with lifelong PE, whereas treating the underlying cause must be the initial goal for patients with acquired PE. Haemospermia is defined as the appearance of blood in the ejaculate. Several reasons of haemospermia have been acknowledged; the primary goal over the management work-up is to exclude malignant conditions and treat any other underlying cause. Conclusions: The 2021 guidelines on sexual and reproductive health summarise the most recent findings, and advise in terms of diagnosis and treatment of male hypogonadism and sexual dysfunction for their use in clinical practice. These guidelines reflect the multidisciplinary nature of their management. Patient summary: Updated European Association of Urology guidelines on sexual and reproductive health are presented, addressing the diagnosis and treatment of the most prevalent conditions in men. Patients must be fully informed of all relevant diagnosti…","author":[{"dropping-particle":"","family":"Salonia","given":"Andrea","non-dropping-particle":"","parse-names":false,"suffix":""},{"dropping-particle":"","family":"Bettocchi","given":"Carlo","non-dropping-particle":"","parse-names":false,"suffix":""},{"dropping-particle":"","family":"Boeri","given":"Luca","non-dropping-particle":"","parse-names":false,"suffix":""},{"dropping-particle":"","family":"Capogrosso","given":"Paolo","non-dropping-particle":"","parse-names":false,"suffix":""},{"dropping-particle":"","family":"Carvalho","given":"Joana","non-dropping-particle":"","parse-names":false,"suffix":""},{"dropping-particle":"","family":"Cilesiz","given":"Nusret Can","non-dropping-particle":"","parse-names":false,"suffix":""},{"dropping-particle":"","family":"Cocci","given":"Andrea","non-dropping-particle":"","parse-names":false,"suffix":""},{"dropping-particle":"","family":"Corona","given":"Giovanni","non-dropping-particle":"","parse-names":false,"suffix":""},{"dropping-particle":"","family":"Dimitropoulos","given":"Kostantinos","non-dropping-particle":"","parse-names":false,"suffix":""},{"dropping-particle":"","family":"Gül","given":"Murat","non-dropping-particle":"","parse-names":false,"suffix":""},{"dropping-particle":"","family":"Hatzichristodoulou","given":"Georgios","non-dropping-particle":"","parse-names":false,"suffix":""},{"dropping-particle":"","family":"Jones","given":"T. Hugh","non-dropping-particle":"","parse-names":false,"suffix":""},{"dropping-particle":"","family":"Kadioglu","given":"Ates","non-dropping-particle":"","parse-names":false,"suffix":""},{"dropping-particle":"","family":"Martínez Salamanca","given":"Juan Ignatio","non-dropping-particle":"","parse-names":false,"suffix":""},{"dropping-particle":"","family":"Milenkovic","given":"Uros","non-dropping-particle":"","parse-names":false,"suffix":""},{"dropping-particle":"","family":"Modgil","given":"Vaibhav","non-dropping-particle":"","parse-names":false,"suffix":""},{"dropping-particle":"","family":"Russo","given":"Giorgio Ivan","non-dropping-particle":"","parse-names":false,"suffix":""},{"dropping-particle":"","family":"Serefoglu","given":"Ege Can","non-dropping-particle":"","parse-names":false,"suffix":""},{"dropping-particle":"","family":"Tharakan","given":"Tharu","non-dropping-particle":"","parse-names":false,"suffix":""},{"dropping-particle":"","family":"Verze","given":"Paolo","non-dropping-particle":"","parse-names":false,"suffix":""},{"dropping-particle":"","family":"Minhas","given":"Suks","non-dropping-particle":"","parse-names":false,"suffix":""}],"container-title":"European Urology","id":"ITEM-1","issue":"3","issued":{"date-parts":[["2021"]]},"page":"333-357","title":"European Association of Urology Guidelines on Sexual and Reproductive Health—2021 Update: Male Sexual Dysfunction[Formula presented]","type":"article-journal","volume":"80"},"uris":["http://www.mendeley.com/documents/?uuid=ff3a1961-da56-45f9-b9da-90c8ee9ceaae"]}],"mendeley":{"formattedCitation":"[27]"},"properties":{"noteIndex":0},"schema":"https://github.com/citation-style-language/schema/raw/master/csl-citation.json"}</w:instrText>
      </w:r>
      <w:r w:rsidRPr="008849FA">
        <w:rPr>
          <w:rFonts w:ascii="Times New Roman" w:hAnsi="Times New Roman" w:cs="Times New Roman"/>
          <w:color w:val="000000" w:themeColor="text1"/>
          <w:sz w:val="28"/>
          <w:szCs w:val="28"/>
        </w:rPr>
        <w:fldChar w:fldCharType="separate"/>
      </w:r>
      <w:r w:rsidR="00347E31" w:rsidRPr="008849FA">
        <w:rPr>
          <w:rFonts w:ascii="Times New Roman" w:hAnsi="Times New Roman" w:cs="Times New Roman"/>
          <w:noProof/>
          <w:color w:val="000000" w:themeColor="text1"/>
          <w:sz w:val="28"/>
          <w:szCs w:val="28"/>
        </w:rPr>
        <w:t>[27]</w:t>
      </w:r>
      <w:r w:rsidRPr="008849FA">
        <w:rPr>
          <w:rFonts w:ascii="Times New Roman" w:hAnsi="Times New Roman" w:cs="Times New Roman"/>
          <w:color w:val="000000" w:themeColor="text1"/>
          <w:sz w:val="28"/>
          <w:szCs w:val="28"/>
        </w:rPr>
        <w:fldChar w:fldCharType="end"/>
      </w:r>
      <w:r w:rsidRPr="008849FA">
        <w:rPr>
          <w:rFonts w:ascii="Times New Roman" w:hAnsi="Times New Roman" w:cs="Times New Roman"/>
          <w:color w:val="000000" w:themeColor="text1"/>
          <w:sz w:val="28"/>
          <w:szCs w:val="28"/>
        </w:rPr>
        <w:t xml:space="preserve"> и индекс резистентности (ИР) в КА после фармакологической нагрузки (норма - значения более 0,8 ) </w:t>
      </w:r>
      <w:r w:rsidRPr="008849FA">
        <w:rPr>
          <w:rFonts w:ascii="Times New Roman" w:hAnsi="Times New Roman" w:cs="Times New Roman"/>
          <w:color w:val="000000" w:themeColor="text1"/>
          <w:sz w:val="28"/>
          <w:szCs w:val="28"/>
        </w:rPr>
        <w:fldChar w:fldCharType="begin" w:fldLock="1"/>
      </w:r>
      <w:r w:rsidR="00347E31" w:rsidRPr="008849FA">
        <w:rPr>
          <w:rFonts w:ascii="Times New Roman" w:hAnsi="Times New Roman" w:cs="Times New Roman"/>
          <w:color w:val="000000" w:themeColor="text1"/>
          <w:sz w:val="28"/>
          <w:szCs w:val="28"/>
        </w:rPr>
        <w:instrText>ADDIN CSL_CITATION {"citationItems":[{"id":"ITEM-1","itemData":{"DOI":"10.1016/j.eururo.2021.06.007","ISSN":"18737560","PMID":"34183196","abstract":"Context: The present summary of the European Association of Urology (EAU) guidelines is based on the latest guidelines on male sexual health published in March 2021, with a last comprehensive update in January 2021. Objective: To present a summary of the 2021 version of the EAU guidelines on sexual and reproductive health. Evidence acquisition: A literature review was performed up to January 2021. The guidelines were updated, and a strength rating for each recommendation was included based on either a systematic review of the evidence or a consensus opinion from the expert panel. Evidence synthesis: Late-onset hypogonadism is a clinical condition in the ageing male combining low levels of circulating testosterone and specific symptoms associated with impaired hormone production and/or action. A comprehensive diagnostic and therapeutic work-up, along with screening recommendations and contraindications, is provided. Erectile dysfunction (ED) is the persistent inability to attain and maintain an erection sufficient to permit satisfactory sexual performance. Along with a detailed basic and advanced diagnostic approach, a novel decision-making algorithm for treating ED in order to better tailor therapy to individual patients is provided. The EAU guidelines have adopted the definition of premature ejaculation (PE), which has been developed by the International Society for Sexual Medicine. After the subtype of PE has been defined, patient's expectations should be discussed thoroughly and pharmacotherapy must be considered as the first-line treatment for patients with lifelong PE, whereas treating the underlying cause must be the initial goal for patients with acquired PE. Haemospermia is defined as the appearance of blood in the ejaculate. Several reasons of haemospermia have been acknowledged; the primary goal over the management work-up is to exclude malignant conditions and treat any other underlying cause. Conclusions: The 2021 guidelines on sexual and reproductive health summarise the most recent findings, and advise in terms of diagnosis and treatment of male hypogonadism and sexual dysfunction for their use in clinical practice. These guidelines reflect the multidisciplinary nature of their management. Patient summary: Updated European Association of Urology guidelines on sexual and reproductive health are presented, addressing the diagnosis and treatment of the most prevalent conditions in men. Patients must be fully informed of all relevant diagnosti…","author":[{"dropping-particle":"","family":"Salonia","given":"Andrea","non-dropping-particle":"","parse-names":false,"suffix":""},{"dropping-particle":"","family":"Bettocchi","given":"Carlo","non-dropping-particle":"","parse-names":false,"suffix":""},{"dropping-particle":"","family":"Boeri","given":"Luca","non-dropping-particle":"","parse-names":false,"suffix":""},{"dropping-particle":"","family":"Capogrosso","given":"Paolo","non-dropping-particle":"","parse-names":false,"suffix":""},{"dropping-particle":"","family":"Carvalho","given":"Joana","non-dropping-particle":"","parse-names":false,"suffix":""},{"dropping-particle":"","family":"Cilesiz","given":"Nusret Can","non-dropping-particle":"","parse-names":false,"suffix":""},{"dropping-particle":"","family":"Cocci","given":"Andrea","non-dropping-particle":"","parse-names":false,"suffix":""},{"dropping-particle":"","family":"Corona","given":"Giovanni","non-dropping-particle":"","parse-names":false,"suffix":""},{"dropping-particle":"","family":"Dimitropoulos","given":"Kostantinos","non-dropping-particle":"","parse-names":false,"suffix":""},{"dropping-particle":"","family":"Gül","given":"Murat","non-dropping-particle":"","parse-names":false,"suffix":""},{"dropping-particle":"","family":"Hatzichristodoulou","given":"Georgios","non-dropping-particle":"","parse-names":false,"suffix":""},{"dropping-particle":"","family":"Jones","given":"T. Hugh","non-dropping-particle":"","parse-names":false,"suffix":""},{"dropping-particle":"","family":"Kadioglu","given":"Ates","non-dropping-particle":"","parse-names":false,"suffix":""},{"dropping-particle":"","family":"Martínez Salamanca","given":"Juan Ignatio","non-dropping-particle":"","parse-names":false,"suffix":""},{"dropping-particle":"","family":"Milenkovic","given":"Uros","non-dropping-particle":"","parse-names":false,"suffix":""},{"dropping-particle":"","family":"Modgil","given":"Vaibhav","non-dropping-particle":"","parse-names":false,"suffix":""},{"dropping-particle":"","family":"Russo","given":"Giorgio Ivan","non-dropping-particle":"","parse-names":false,"suffix":""},{"dropping-particle":"","family":"Serefoglu","given":"Ege Can","non-dropping-particle":"","parse-names":false,"suffix":""},{"dropping-particle":"","family":"Tharakan","given":"Tharu","non-dropping-particle":"","parse-names":false,"suffix":""},{"dropping-particle":"","family":"Verze","given":"Paolo","non-dropping-particle":"","parse-names":false,"suffix":""},{"dropping-particle":"","family":"Minhas","given":"Suks","non-dropping-particle":"","parse-names":false,"suffix":""}],"container-title":"European Urology","id":"ITEM-1","issue":"3","issued":{"date-parts":[["2021"]]},"page":"333-357","title":"European Association of Urology Guidelines on Sexual and Reproductive Health—2021 Update: Male Sexual Dysfunction[Formula presented]","type":"article-journal","volume":"80"},"uris":["http://www.mendeley.com/documents/?uuid=ff3a1961-da56-45f9-b9da-90c8ee9ceaae"]}],"mendeley":{"formattedCitation":"[27]"},"properties":{"noteIndex":0},"schema":"https://github.com/citation-style-language/schema/raw/master/csl-citation.json"}</w:instrText>
      </w:r>
      <w:r w:rsidRPr="008849FA">
        <w:rPr>
          <w:rFonts w:ascii="Times New Roman" w:hAnsi="Times New Roman" w:cs="Times New Roman"/>
          <w:color w:val="000000" w:themeColor="text1"/>
          <w:sz w:val="28"/>
          <w:szCs w:val="28"/>
        </w:rPr>
        <w:fldChar w:fldCharType="separate"/>
      </w:r>
      <w:r w:rsidR="00347E31" w:rsidRPr="008849FA">
        <w:rPr>
          <w:rFonts w:ascii="Times New Roman" w:hAnsi="Times New Roman" w:cs="Times New Roman"/>
          <w:noProof/>
          <w:color w:val="000000" w:themeColor="text1"/>
          <w:sz w:val="28"/>
          <w:szCs w:val="28"/>
        </w:rPr>
        <w:t>[27]</w:t>
      </w:r>
      <w:r w:rsidRPr="008849FA">
        <w:rPr>
          <w:rFonts w:ascii="Times New Roman" w:hAnsi="Times New Roman" w:cs="Times New Roman"/>
          <w:color w:val="000000" w:themeColor="text1"/>
          <w:sz w:val="28"/>
          <w:szCs w:val="28"/>
        </w:rPr>
        <w:fldChar w:fldCharType="end"/>
      </w:r>
      <w:r w:rsidRPr="008849FA">
        <w:rPr>
          <w:rFonts w:ascii="Times New Roman" w:hAnsi="Times New Roman" w:cs="Times New Roman"/>
          <w:color w:val="000000" w:themeColor="text1"/>
          <w:sz w:val="28"/>
          <w:szCs w:val="28"/>
        </w:rPr>
        <w:t>. Всем пациентам выполнена УЗ-допплерография сосудов полового члена с фармакологической нагрузкой, причём одним профильным специалистом, тоже “ослеплённым”.</w:t>
      </w: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sz w:val="28"/>
          <w:szCs w:val="28"/>
        </w:rPr>
      </w:pPr>
      <w:bookmarkStart w:id="0" w:name="_Toc85307559"/>
      <w:bookmarkStart w:id="1" w:name="_Toc85831642"/>
      <w:bookmarkStart w:id="2" w:name="_Toc85837358"/>
      <w:bookmarkStart w:id="3" w:name="_Toc90782775"/>
      <w:bookmarkStart w:id="4" w:name="_Toc90788169"/>
      <w:bookmarkStart w:id="5" w:name="_Toc90913154"/>
      <w:bookmarkStart w:id="6" w:name="_Toc96283961"/>
      <w:bookmarkStart w:id="7" w:name="_Toc96284089"/>
      <w:bookmarkStart w:id="8" w:name="_Toc98256419"/>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b/>
          <w:sz w:val="28"/>
          <w:szCs w:val="28"/>
        </w:rPr>
      </w:pPr>
      <w:r w:rsidRPr="008849FA">
        <w:rPr>
          <w:rFonts w:ascii="Times New Roman" w:hAnsi="Times New Roman" w:cs="Times New Roman"/>
          <w:b/>
          <w:sz w:val="28"/>
          <w:szCs w:val="28"/>
        </w:rPr>
        <w:t>Лабораторные исследования</w:t>
      </w:r>
      <w:bookmarkEnd w:id="0"/>
      <w:bookmarkEnd w:id="1"/>
      <w:bookmarkEnd w:id="2"/>
      <w:bookmarkEnd w:id="3"/>
      <w:bookmarkEnd w:id="4"/>
      <w:bookmarkEnd w:id="5"/>
      <w:bookmarkEnd w:id="6"/>
      <w:bookmarkEnd w:id="7"/>
      <w:bookmarkEnd w:id="8"/>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Обследуемым мужчинам проводились лабораторные исследования крови и мочи, включавшие обязательные анализы: гематологический и биохимический анализ крови, исследование простатического специфического антигена сыворотки крови, коагулограмму, общий анализ мочи. В случае наличия отклонения лабораторных показателей или при наличии клинических симптомов проводились такие анализы как: анализ мочи по Нечипоренко, анализ мочи в 3-порциях (2-х порциях), исследование секрета простаты и посев мочи с определением чувствительности флоры к антибиотикам.</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Гематологическое исследование выполнялось больным по общепринятой методике с подсчетом формулы крови и определением количества эритроцитов, лейкоцитов и тромбоцитов, концентрации гемоглобина, уровня гематокрита, цветовой формулы до и после операции.</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lastRenderedPageBreak/>
        <w:t xml:space="preserve">Биохимическое исследование сыворотки крови проводилось пациентам по общепринятой методике с определением уровня креатинина, мочевины, глюкозы, общего белка, альбумина, калия, натрия, мочевой кислоты до и после операции. </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Оценка показателей свертывающей системы крови выполнялась всем пациентам по общепринятой методике</w:t>
      </w:r>
      <w:r w:rsidRPr="008849FA">
        <w:rPr>
          <w:rFonts w:ascii="Times New Roman" w:hAnsi="Times New Roman"/>
          <w:b/>
          <w:snapToGrid w:val="0"/>
          <w:sz w:val="28"/>
          <w:szCs w:val="28"/>
        </w:rPr>
        <w:t xml:space="preserve"> </w:t>
      </w:r>
      <w:r w:rsidRPr="008849FA">
        <w:rPr>
          <w:rFonts w:ascii="Times New Roman" w:hAnsi="Times New Roman"/>
          <w:snapToGrid w:val="0"/>
          <w:sz w:val="28"/>
          <w:szCs w:val="28"/>
        </w:rPr>
        <w:t xml:space="preserve">до операции. Определялось активированное частичное </w:t>
      </w:r>
      <w:proofErr w:type="spellStart"/>
      <w:r w:rsidRPr="008849FA">
        <w:rPr>
          <w:rFonts w:ascii="Times New Roman" w:hAnsi="Times New Roman"/>
          <w:snapToGrid w:val="0"/>
          <w:sz w:val="28"/>
          <w:szCs w:val="28"/>
        </w:rPr>
        <w:t>тромбопластиновое</w:t>
      </w:r>
      <w:proofErr w:type="spellEnd"/>
      <w:r w:rsidRPr="008849FA">
        <w:rPr>
          <w:rFonts w:ascii="Times New Roman" w:hAnsi="Times New Roman"/>
          <w:snapToGrid w:val="0"/>
          <w:sz w:val="28"/>
          <w:szCs w:val="28"/>
        </w:rPr>
        <w:t xml:space="preserve"> время, международное нормализованное отношение (МНО), </w:t>
      </w:r>
      <w:proofErr w:type="spellStart"/>
      <w:r w:rsidRPr="008849FA">
        <w:rPr>
          <w:rFonts w:ascii="Times New Roman" w:hAnsi="Times New Roman"/>
          <w:snapToGrid w:val="0"/>
          <w:sz w:val="28"/>
          <w:szCs w:val="28"/>
        </w:rPr>
        <w:t>протромбиновый</w:t>
      </w:r>
      <w:proofErr w:type="spellEnd"/>
      <w:r w:rsidRPr="008849FA">
        <w:rPr>
          <w:rFonts w:ascii="Times New Roman" w:hAnsi="Times New Roman"/>
          <w:snapToGrid w:val="0"/>
          <w:sz w:val="28"/>
          <w:szCs w:val="28"/>
        </w:rPr>
        <w:t xml:space="preserve"> индекс, концентрация фибриногена.</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Общий анализ мочи проводился всем больным по общепринятой методике с определением цвета, прозрачности, кислотности, плотности мочи, белка, глюкозы, ацетона, цилиндров, эпителия, лейкоцитов и эритроцитов в поле зрения, солей, бактерий.</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 xml:space="preserve">Исследование мочи по Нечипоренко выполнялось по общепринятой методике с определением белка, количества лейкоцитов и эритроцитов. </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 xml:space="preserve">При наличии </w:t>
      </w:r>
      <w:proofErr w:type="spellStart"/>
      <w:r w:rsidRPr="008849FA">
        <w:rPr>
          <w:rFonts w:ascii="Times New Roman" w:hAnsi="Times New Roman"/>
          <w:snapToGrid w:val="0"/>
          <w:sz w:val="28"/>
          <w:szCs w:val="28"/>
        </w:rPr>
        <w:t>лейкоцитурии</w:t>
      </w:r>
      <w:proofErr w:type="spellEnd"/>
      <w:r w:rsidRPr="008849FA">
        <w:rPr>
          <w:rFonts w:ascii="Times New Roman" w:hAnsi="Times New Roman"/>
          <w:snapToGrid w:val="0"/>
          <w:sz w:val="28"/>
          <w:szCs w:val="28"/>
        </w:rPr>
        <w:t xml:space="preserve"> всем больным проводилось бактериологическое исследование мочи с определением чувствительности к антибиотикам. </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color w:val="000000" w:themeColor="text1"/>
          <w:sz w:val="28"/>
          <w:szCs w:val="28"/>
        </w:rPr>
      </w:pPr>
      <w:r w:rsidRPr="008849FA">
        <w:rPr>
          <w:rFonts w:ascii="Times New Roman" w:hAnsi="Times New Roman"/>
          <w:color w:val="000000" w:themeColor="text1"/>
          <w:sz w:val="28"/>
          <w:szCs w:val="28"/>
        </w:rPr>
        <w:t xml:space="preserve">До и после лечения производилась оценка гормональных показателей пациентов, таких как: </w:t>
      </w:r>
      <w:proofErr w:type="spellStart"/>
      <w:r w:rsidRPr="008849FA">
        <w:rPr>
          <w:rFonts w:ascii="Times New Roman" w:hAnsi="Times New Roman"/>
          <w:color w:val="000000" w:themeColor="text1"/>
          <w:sz w:val="28"/>
          <w:szCs w:val="28"/>
        </w:rPr>
        <w:t>лютеинизрующий</w:t>
      </w:r>
      <w:proofErr w:type="spellEnd"/>
      <w:r w:rsidRPr="008849FA">
        <w:rPr>
          <w:rFonts w:ascii="Times New Roman" w:hAnsi="Times New Roman"/>
          <w:color w:val="000000" w:themeColor="text1"/>
          <w:sz w:val="28"/>
          <w:szCs w:val="28"/>
        </w:rPr>
        <w:t xml:space="preserve"> гормон (ЛГ) (норма – 1,5-9,3</w:t>
      </w:r>
      <w:r w:rsidRPr="008849FA">
        <w:rPr>
          <w:rFonts w:ascii="Times New Roman" w:hAnsi="Times New Roman"/>
          <w:sz w:val="28"/>
          <w:szCs w:val="28"/>
        </w:rPr>
        <w:t xml:space="preserve"> </w:t>
      </w:r>
      <w:proofErr w:type="spellStart"/>
      <w:r w:rsidRPr="008849FA">
        <w:rPr>
          <w:rFonts w:ascii="Times New Roman" w:hAnsi="Times New Roman"/>
          <w:sz w:val="28"/>
          <w:szCs w:val="28"/>
        </w:rPr>
        <w:t>мМе</w:t>
      </w:r>
      <w:proofErr w:type="spellEnd"/>
      <w:r w:rsidRPr="008849FA">
        <w:rPr>
          <w:rFonts w:ascii="Times New Roman" w:hAnsi="Times New Roman"/>
          <w:sz w:val="28"/>
          <w:szCs w:val="28"/>
        </w:rPr>
        <w:t>/мл</w:t>
      </w:r>
      <w:r w:rsidRPr="008849FA">
        <w:rPr>
          <w:rFonts w:ascii="Times New Roman" w:hAnsi="Times New Roman"/>
          <w:color w:val="000000" w:themeColor="text1"/>
          <w:sz w:val="28"/>
          <w:szCs w:val="28"/>
        </w:rPr>
        <w:t xml:space="preserve">), фолликулостимулирующий гормон (ФСГ) (норма – 1,4-18,1 </w:t>
      </w:r>
      <w:proofErr w:type="spellStart"/>
      <w:r w:rsidRPr="008849FA">
        <w:rPr>
          <w:rFonts w:ascii="Times New Roman" w:hAnsi="Times New Roman"/>
          <w:sz w:val="28"/>
          <w:szCs w:val="28"/>
        </w:rPr>
        <w:t>мМЕ</w:t>
      </w:r>
      <w:proofErr w:type="spellEnd"/>
      <w:r w:rsidRPr="008849FA">
        <w:rPr>
          <w:rFonts w:ascii="Times New Roman" w:hAnsi="Times New Roman"/>
          <w:sz w:val="28"/>
          <w:szCs w:val="28"/>
        </w:rPr>
        <w:t>/мл</w:t>
      </w:r>
      <w:r w:rsidRPr="008849FA">
        <w:rPr>
          <w:rFonts w:ascii="Times New Roman" w:hAnsi="Times New Roman"/>
          <w:color w:val="000000" w:themeColor="text1"/>
          <w:sz w:val="28"/>
          <w:szCs w:val="28"/>
        </w:rPr>
        <w:t xml:space="preserve">), общий тестостерон (норма – 8,4-28,7 </w:t>
      </w:r>
      <w:proofErr w:type="spellStart"/>
      <w:r w:rsidRPr="008849FA">
        <w:rPr>
          <w:rFonts w:ascii="Times New Roman" w:hAnsi="Times New Roman"/>
          <w:sz w:val="28"/>
          <w:szCs w:val="28"/>
        </w:rPr>
        <w:t>нмоль</w:t>
      </w:r>
      <w:proofErr w:type="spellEnd"/>
      <w:r w:rsidRPr="008849FA">
        <w:rPr>
          <w:rFonts w:ascii="Times New Roman" w:hAnsi="Times New Roman"/>
          <w:sz w:val="28"/>
          <w:szCs w:val="28"/>
        </w:rPr>
        <w:t>/л</w:t>
      </w:r>
      <w:r w:rsidRPr="008849FA">
        <w:rPr>
          <w:rFonts w:ascii="Times New Roman" w:hAnsi="Times New Roman"/>
          <w:color w:val="000000" w:themeColor="text1"/>
          <w:sz w:val="28"/>
          <w:szCs w:val="28"/>
        </w:rPr>
        <w:t xml:space="preserve">), пролактин (норма – 2,64-13,13 </w:t>
      </w:r>
      <w:proofErr w:type="spellStart"/>
      <w:r w:rsidRPr="008849FA">
        <w:rPr>
          <w:rFonts w:ascii="Times New Roman" w:hAnsi="Times New Roman"/>
          <w:sz w:val="28"/>
          <w:szCs w:val="28"/>
        </w:rPr>
        <w:t>нг</w:t>
      </w:r>
      <w:proofErr w:type="spellEnd"/>
      <w:r w:rsidRPr="008849FA">
        <w:rPr>
          <w:rFonts w:ascii="Times New Roman" w:hAnsi="Times New Roman"/>
          <w:sz w:val="28"/>
          <w:szCs w:val="28"/>
        </w:rPr>
        <w:t>/мл</w:t>
      </w:r>
      <w:r w:rsidRPr="008849FA">
        <w:rPr>
          <w:rFonts w:ascii="Times New Roman" w:hAnsi="Times New Roman"/>
          <w:color w:val="000000" w:themeColor="text1"/>
          <w:sz w:val="28"/>
          <w:szCs w:val="28"/>
        </w:rPr>
        <w:t xml:space="preserve">) и эстрадиол (0-146 </w:t>
      </w:r>
      <w:proofErr w:type="spellStart"/>
      <w:r w:rsidRPr="008849FA">
        <w:rPr>
          <w:rFonts w:ascii="Times New Roman" w:hAnsi="Times New Roman"/>
          <w:sz w:val="28"/>
          <w:szCs w:val="28"/>
        </w:rPr>
        <w:t>пмоль</w:t>
      </w:r>
      <w:proofErr w:type="spellEnd"/>
      <w:r w:rsidRPr="008849FA">
        <w:rPr>
          <w:rFonts w:ascii="Times New Roman" w:hAnsi="Times New Roman"/>
          <w:sz w:val="28"/>
          <w:szCs w:val="28"/>
        </w:rPr>
        <w:t>/л</w:t>
      </w:r>
      <w:r w:rsidRPr="008849FA">
        <w:rPr>
          <w:rFonts w:ascii="Times New Roman" w:hAnsi="Times New Roman"/>
          <w:color w:val="000000" w:themeColor="text1"/>
          <w:sz w:val="28"/>
          <w:szCs w:val="28"/>
        </w:rPr>
        <w:t xml:space="preserve">).  </w:t>
      </w:r>
    </w:p>
    <w:p w:rsidR="00EC2BF5" w:rsidRDefault="00EC2BF5" w:rsidP="005146FA">
      <w:pPr>
        <w:tabs>
          <w:tab w:val="left" w:pos="142"/>
        </w:tabs>
        <w:spacing w:after="100" w:afterAutospacing="1" w:line="360" w:lineRule="auto"/>
        <w:ind w:left="-284" w:right="-7" w:firstLine="284"/>
        <w:contextualSpacing/>
        <w:jc w:val="both"/>
        <w:rPr>
          <w:rFonts w:ascii="Times New Roman" w:hAnsi="Times New Roman" w:cs="Times New Roman"/>
          <w:b/>
          <w:sz w:val="28"/>
          <w:szCs w:val="28"/>
        </w:rPr>
      </w:pPr>
    </w:p>
    <w:p w:rsidR="00111DCE" w:rsidRPr="008849FA" w:rsidRDefault="00111DCE" w:rsidP="005146FA">
      <w:pPr>
        <w:tabs>
          <w:tab w:val="left" w:pos="142"/>
        </w:tabs>
        <w:spacing w:after="100" w:afterAutospacing="1" w:line="360" w:lineRule="auto"/>
        <w:ind w:left="-284" w:right="-7" w:firstLine="284"/>
        <w:contextualSpacing/>
        <w:jc w:val="both"/>
        <w:rPr>
          <w:rFonts w:ascii="Times New Roman" w:hAnsi="Times New Roman" w:cs="Times New Roman"/>
          <w:b/>
          <w:sz w:val="28"/>
          <w:szCs w:val="28"/>
        </w:rPr>
      </w:pPr>
      <w:r w:rsidRPr="008849FA">
        <w:rPr>
          <w:rFonts w:ascii="Times New Roman" w:hAnsi="Times New Roman" w:cs="Times New Roman"/>
          <w:b/>
          <w:sz w:val="28"/>
          <w:szCs w:val="28"/>
        </w:rPr>
        <w:t>Процедура рандомизации</w:t>
      </w:r>
    </w:p>
    <w:p w:rsidR="00111DCE" w:rsidRPr="008849FA" w:rsidRDefault="00111DCE" w:rsidP="005146FA">
      <w:pPr>
        <w:pStyle w:val="af1"/>
        <w:tabs>
          <w:tab w:val="left" w:pos="142"/>
        </w:tabs>
        <w:spacing w:after="100" w:afterAutospacing="1" w:line="360" w:lineRule="auto"/>
        <w:ind w:left="-284" w:right="-7" w:firstLine="284"/>
        <w:contextualSpacing/>
        <w:jc w:val="both"/>
        <w:rPr>
          <w:rFonts w:ascii="Times New Roman" w:hAnsi="Times New Roman"/>
          <w:snapToGrid w:val="0"/>
          <w:sz w:val="28"/>
          <w:szCs w:val="28"/>
        </w:rPr>
      </w:pPr>
      <w:r w:rsidRPr="008849FA">
        <w:rPr>
          <w:rFonts w:ascii="Times New Roman" w:hAnsi="Times New Roman"/>
          <w:snapToGrid w:val="0"/>
          <w:sz w:val="28"/>
          <w:szCs w:val="28"/>
        </w:rPr>
        <w:t xml:space="preserve">Все пациенты рандомизированы на две группы в соотношении распределения 1:1. Рандомизация осуществлена с помощью веб-системы управления данными. </w:t>
      </w:r>
      <w:proofErr w:type="gramStart"/>
      <w:r w:rsidRPr="008849FA">
        <w:rPr>
          <w:rFonts w:ascii="Times New Roman" w:hAnsi="Times New Roman"/>
          <w:snapToGrid w:val="0"/>
          <w:sz w:val="28"/>
          <w:szCs w:val="28"/>
        </w:rPr>
        <w:t>Пациент согласно проведенной рандомизации</w:t>
      </w:r>
      <w:proofErr w:type="gramEnd"/>
      <w:r w:rsidRPr="008849FA">
        <w:rPr>
          <w:rFonts w:ascii="Times New Roman" w:hAnsi="Times New Roman"/>
          <w:snapToGrid w:val="0"/>
          <w:sz w:val="28"/>
          <w:szCs w:val="28"/>
        </w:rPr>
        <w:t xml:space="preserve"> определялся в экспериментальную группу (лечение с помощью аппарата ёмкостно-</w:t>
      </w:r>
      <w:r w:rsidRPr="008849FA">
        <w:rPr>
          <w:rFonts w:ascii="Times New Roman" w:hAnsi="Times New Roman"/>
          <w:snapToGrid w:val="0"/>
          <w:sz w:val="28"/>
          <w:szCs w:val="28"/>
        </w:rPr>
        <w:lastRenderedPageBreak/>
        <w:t xml:space="preserve">резистивной радиоволновой электротерапии с частотой 448 кГц), либо в контрольную (использование </w:t>
      </w:r>
      <w:proofErr w:type="spellStart"/>
      <w:r w:rsidRPr="008849FA">
        <w:rPr>
          <w:rFonts w:ascii="Times New Roman" w:hAnsi="Times New Roman"/>
          <w:snapToGrid w:val="0"/>
          <w:sz w:val="28"/>
          <w:szCs w:val="28"/>
        </w:rPr>
        <w:t>sham</w:t>
      </w:r>
      <w:proofErr w:type="spellEnd"/>
      <w:r w:rsidRPr="008849FA">
        <w:rPr>
          <w:rFonts w:ascii="Times New Roman" w:hAnsi="Times New Roman"/>
          <w:snapToGrid w:val="0"/>
          <w:sz w:val="28"/>
          <w:szCs w:val="28"/>
        </w:rPr>
        <w:t>-электрода).</w:t>
      </w:r>
    </w:p>
    <w:p w:rsidR="008849FA" w:rsidRDefault="00E03C6E" w:rsidP="005146FA">
      <w:pPr>
        <w:tabs>
          <w:tab w:val="left" w:pos="142"/>
        </w:tabs>
        <w:spacing w:after="100" w:afterAutospacing="1" w:line="360" w:lineRule="auto"/>
        <w:ind w:right="-7"/>
        <w:contextualSpacing/>
        <w:jc w:val="both"/>
        <w:rPr>
          <w:rFonts w:ascii="Times New Roman" w:hAnsi="Times New Roman" w:cs="Times New Roman"/>
          <w:b/>
          <w:sz w:val="28"/>
          <w:szCs w:val="28"/>
        </w:rPr>
      </w:pPr>
      <w:r>
        <w:rPr>
          <w:rFonts w:ascii="Times New Roman" w:hAnsi="Times New Roman" w:cs="Times New Roman"/>
          <w:b/>
          <w:sz w:val="28"/>
          <w:szCs w:val="28"/>
        </w:rPr>
        <w:t>Схема курсового</w:t>
      </w:r>
      <w:r w:rsidR="008849FA">
        <w:rPr>
          <w:rFonts w:ascii="Times New Roman" w:hAnsi="Times New Roman" w:cs="Times New Roman"/>
          <w:b/>
          <w:sz w:val="28"/>
          <w:szCs w:val="28"/>
        </w:rPr>
        <w:t xml:space="preserve"> лечения пациентов с органической эректильной дисфункцией с применением </w:t>
      </w:r>
      <w:r w:rsidR="008849FA" w:rsidRPr="008849FA">
        <w:rPr>
          <w:rFonts w:ascii="Times New Roman" w:hAnsi="Times New Roman" w:cs="Times New Roman"/>
          <w:b/>
          <w:sz w:val="28"/>
          <w:szCs w:val="28"/>
        </w:rPr>
        <w:t>аппарата непрерывной емкостной</w:t>
      </w:r>
      <w:r w:rsidR="008849FA" w:rsidRPr="00FA68D7">
        <w:rPr>
          <w:rFonts w:ascii="Times New Roman" w:hAnsi="Times New Roman" w:cs="Times New Roman"/>
          <w:sz w:val="28"/>
          <w:szCs w:val="28"/>
        </w:rPr>
        <w:t xml:space="preserve"> </w:t>
      </w:r>
      <w:r w:rsidR="008849FA" w:rsidRPr="008849FA">
        <w:rPr>
          <w:rFonts w:ascii="Times New Roman" w:hAnsi="Times New Roman" w:cs="Times New Roman"/>
          <w:b/>
          <w:sz w:val="28"/>
          <w:szCs w:val="28"/>
        </w:rPr>
        <w:t xml:space="preserve">резистивной </w:t>
      </w:r>
      <w:proofErr w:type="spellStart"/>
      <w:r w:rsidR="008849FA" w:rsidRPr="008849FA">
        <w:rPr>
          <w:rFonts w:ascii="Times New Roman" w:hAnsi="Times New Roman" w:cs="Times New Roman"/>
          <w:b/>
          <w:sz w:val="28"/>
          <w:szCs w:val="28"/>
        </w:rPr>
        <w:t>монополярной</w:t>
      </w:r>
      <w:proofErr w:type="spellEnd"/>
      <w:r w:rsidR="008849FA" w:rsidRPr="008849FA">
        <w:rPr>
          <w:rFonts w:ascii="Times New Roman" w:hAnsi="Times New Roman" w:cs="Times New Roman"/>
          <w:b/>
          <w:sz w:val="28"/>
          <w:szCs w:val="28"/>
        </w:rPr>
        <w:t xml:space="preserve"> электротерапии с радиочастотой 448 кГц</w:t>
      </w:r>
    </w:p>
    <w:p w:rsidR="00E03C6E" w:rsidRDefault="00E03C6E" w:rsidP="005146FA">
      <w:pPr>
        <w:tabs>
          <w:tab w:val="left" w:pos="142"/>
        </w:tabs>
        <w:spacing w:after="100" w:afterAutospacing="1" w:line="360" w:lineRule="auto"/>
        <w:ind w:right="-7"/>
        <w:contextualSpacing/>
        <w:jc w:val="both"/>
        <w:rPr>
          <w:rFonts w:ascii="Times New Roman" w:hAnsi="Times New Roman" w:cs="Times New Roman"/>
          <w:b/>
          <w:sz w:val="28"/>
          <w:szCs w:val="28"/>
        </w:rPr>
      </w:pPr>
    </w:p>
    <w:p w:rsidR="008849FA" w:rsidRDefault="00E03C6E" w:rsidP="005146FA">
      <w:pPr>
        <w:tabs>
          <w:tab w:val="left" w:pos="142"/>
        </w:tabs>
        <w:spacing w:after="100" w:afterAutospacing="1" w:line="360" w:lineRule="auto"/>
        <w:ind w:left="-284" w:right="-7" w:firstLine="284"/>
        <w:contextualSpacing/>
        <w:jc w:val="both"/>
        <w:rPr>
          <w:rFonts w:ascii="Times New Roman" w:hAnsi="Times New Roman" w:cs="Times New Roman"/>
          <w:b/>
          <w:sz w:val="28"/>
          <w:szCs w:val="28"/>
        </w:rPr>
      </w:pPr>
      <w:r>
        <w:rPr>
          <w:noProof/>
          <w:lang w:eastAsia="ru-RU"/>
        </w:rPr>
        <w:drawing>
          <wp:inline distT="0" distB="0" distL="0" distR="0" wp14:anchorId="198B4502" wp14:editId="17F860A0">
            <wp:extent cx="5934122" cy="293751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77" t="13468"/>
                    <a:stretch/>
                  </pic:blipFill>
                  <pic:spPr bwMode="auto">
                    <a:xfrm>
                      <a:off x="0" y="0"/>
                      <a:ext cx="5948835" cy="2944793"/>
                    </a:xfrm>
                    <a:prstGeom prst="rect">
                      <a:avLst/>
                    </a:prstGeom>
                    <a:ln>
                      <a:noFill/>
                    </a:ln>
                    <a:extLst>
                      <a:ext uri="{53640926-AAD7-44D8-BBD7-CCE9431645EC}">
                        <a14:shadowObscured xmlns:a14="http://schemas.microsoft.com/office/drawing/2010/main"/>
                      </a:ext>
                    </a:extLst>
                  </pic:spPr>
                </pic:pic>
              </a:graphicData>
            </a:graphic>
          </wp:inline>
        </w:drawing>
      </w:r>
    </w:p>
    <w:p w:rsidR="00111DCE" w:rsidRPr="008849FA" w:rsidRDefault="009F79C8" w:rsidP="005146FA">
      <w:pPr>
        <w:tabs>
          <w:tab w:val="left" w:pos="142"/>
        </w:tabs>
        <w:spacing w:after="100" w:afterAutospacing="1" w:line="360" w:lineRule="auto"/>
        <w:ind w:left="-284" w:right="-7" w:firstLine="284"/>
        <w:contextualSpacing/>
        <w:jc w:val="both"/>
        <w:rPr>
          <w:rFonts w:ascii="Times New Roman" w:hAnsi="Times New Roman" w:cs="Times New Roman"/>
          <w:b/>
          <w:sz w:val="28"/>
          <w:szCs w:val="28"/>
        </w:rPr>
      </w:pPr>
      <w:r w:rsidRPr="008849FA">
        <w:rPr>
          <w:rFonts w:ascii="Times New Roman" w:hAnsi="Times New Roman" w:cs="Times New Roman"/>
          <w:b/>
          <w:sz w:val="28"/>
          <w:szCs w:val="28"/>
        </w:rPr>
        <w:t>Основные результаты научно- исследовательской работы</w:t>
      </w:r>
    </w:p>
    <w:p w:rsidR="009F79C8" w:rsidRPr="008849FA" w:rsidRDefault="009F79C8" w:rsidP="005146FA">
      <w:pPr>
        <w:pStyle w:val="p1"/>
        <w:spacing w:before="0" w:beforeAutospacing="0" w:after="0" w:afterAutospacing="0" w:line="360" w:lineRule="auto"/>
        <w:ind w:left="-284" w:firstLine="284"/>
        <w:jc w:val="both"/>
        <w:rPr>
          <w:color w:val="000000" w:themeColor="text1"/>
          <w:sz w:val="28"/>
          <w:szCs w:val="28"/>
        </w:rPr>
      </w:pPr>
      <w:r w:rsidRPr="008849FA">
        <w:rPr>
          <w:rStyle w:val="s2"/>
          <w:color w:val="000000" w:themeColor="text1"/>
          <w:sz w:val="28"/>
          <w:szCs w:val="28"/>
        </w:rPr>
        <w:t>В исследовании - две группы: экспериментальная (31 пациент) и контрольная (30 пациентов). Средний возраст пациентов: 45,1</w:t>
      </w:r>
      <w:r w:rsidRPr="008849FA">
        <w:rPr>
          <w:color w:val="000000" w:themeColor="text1"/>
          <w:sz w:val="28"/>
          <w:szCs w:val="28"/>
        </w:rPr>
        <w:t xml:space="preserve"> ± 12,6 лет в экспериментальной группе, и 43,7 ± 10,5 лет – в группе контроля (р=</w:t>
      </w:r>
      <w:r w:rsidRPr="008849FA">
        <w:rPr>
          <w:sz w:val="28"/>
          <w:szCs w:val="28"/>
        </w:rPr>
        <w:t>0,152</w:t>
      </w:r>
      <w:r w:rsidRPr="008849FA">
        <w:rPr>
          <w:color w:val="000000" w:themeColor="text1"/>
          <w:sz w:val="28"/>
          <w:szCs w:val="28"/>
        </w:rPr>
        <w:t xml:space="preserve">). </w:t>
      </w:r>
      <w:r w:rsidRPr="008849FA">
        <w:rPr>
          <w:rStyle w:val="s2"/>
          <w:color w:val="000000" w:themeColor="text1"/>
          <w:sz w:val="28"/>
          <w:szCs w:val="28"/>
        </w:rPr>
        <w:t xml:space="preserve">Два пациента в группе контроля – с сахарным диабетом II типа (6,6%). 11 (35,5%) пациентов в экспериментальной группе отмечали факт курения и 3 (10%) – в группе контроля. ИМТ в экспериментальной группе – </w:t>
      </w:r>
      <w:r w:rsidRPr="008849FA">
        <w:rPr>
          <w:color w:val="000000" w:themeColor="text1"/>
          <w:sz w:val="28"/>
          <w:szCs w:val="28"/>
        </w:rPr>
        <w:t>27,4 ± 3,5; в группе контроля – 27,8 ± 5,2 (р=</w:t>
      </w:r>
      <w:r w:rsidRPr="008849FA">
        <w:rPr>
          <w:sz w:val="28"/>
          <w:szCs w:val="28"/>
        </w:rPr>
        <w:t>0,092</w:t>
      </w:r>
      <w:r w:rsidRPr="008849FA">
        <w:rPr>
          <w:color w:val="000000" w:themeColor="text1"/>
          <w:sz w:val="28"/>
          <w:szCs w:val="28"/>
        </w:rPr>
        <w:t>).</w:t>
      </w:r>
    </w:p>
    <w:p w:rsidR="009F79C8" w:rsidRPr="008849FA" w:rsidRDefault="009F79C8" w:rsidP="005146FA">
      <w:pPr>
        <w:pStyle w:val="p1"/>
        <w:spacing w:before="0" w:beforeAutospacing="0" w:after="0" w:afterAutospacing="0" w:line="360" w:lineRule="auto"/>
        <w:ind w:left="-284" w:firstLine="284"/>
        <w:jc w:val="both"/>
        <w:rPr>
          <w:color w:val="000000" w:themeColor="text1"/>
          <w:sz w:val="28"/>
          <w:szCs w:val="28"/>
        </w:rPr>
      </w:pPr>
      <w:r w:rsidRPr="008849FA">
        <w:rPr>
          <w:rStyle w:val="s2"/>
          <w:color w:val="000000" w:themeColor="text1"/>
          <w:sz w:val="28"/>
          <w:szCs w:val="28"/>
        </w:rPr>
        <w:t>Демографические и клинические характеристики пациентов обеих групп сравнимы.</w:t>
      </w:r>
    </w:p>
    <w:p w:rsidR="009F79C8" w:rsidRPr="008849FA" w:rsidRDefault="009F79C8" w:rsidP="005146FA">
      <w:pPr>
        <w:pStyle w:val="p1"/>
        <w:spacing w:before="0" w:beforeAutospacing="0" w:after="0" w:afterAutospacing="0" w:line="360" w:lineRule="auto"/>
        <w:ind w:left="-284" w:firstLine="284"/>
        <w:jc w:val="both"/>
        <w:rPr>
          <w:rStyle w:val="s4"/>
          <w:color w:val="000000" w:themeColor="text1"/>
          <w:sz w:val="28"/>
          <w:szCs w:val="28"/>
        </w:rPr>
      </w:pPr>
      <w:r w:rsidRPr="008849FA">
        <w:rPr>
          <w:rStyle w:val="s4"/>
          <w:color w:val="000000" w:themeColor="text1"/>
          <w:sz w:val="28"/>
          <w:szCs w:val="28"/>
        </w:rPr>
        <w:t xml:space="preserve">У всех пациентов – декомпенсированная </w:t>
      </w:r>
      <w:proofErr w:type="spellStart"/>
      <w:r w:rsidRPr="008849FA">
        <w:rPr>
          <w:rStyle w:val="s4"/>
          <w:color w:val="000000" w:themeColor="text1"/>
          <w:sz w:val="28"/>
          <w:szCs w:val="28"/>
        </w:rPr>
        <w:t>васкулогенная</w:t>
      </w:r>
      <w:proofErr w:type="spellEnd"/>
      <w:r w:rsidRPr="008849FA">
        <w:rPr>
          <w:rStyle w:val="s4"/>
          <w:color w:val="000000" w:themeColor="text1"/>
          <w:sz w:val="28"/>
          <w:szCs w:val="28"/>
        </w:rPr>
        <w:t xml:space="preserve"> эректильная дисфункция, подтверждённая ультразвуковой допплерографией с фармакологической нагрузкой: в экспериментальной группе </w:t>
      </w:r>
      <w:proofErr w:type="spellStart"/>
      <w:r w:rsidRPr="008849FA">
        <w:rPr>
          <w:rStyle w:val="s4"/>
          <w:color w:val="000000" w:themeColor="text1"/>
          <w:sz w:val="28"/>
          <w:szCs w:val="28"/>
        </w:rPr>
        <w:t>артериогенная</w:t>
      </w:r>
      <w:proofErr w:type="spellEnd"/>
      <w:r w:rsidRPr="008849FA">
        <w:rPr>
          <w:rStyle w:val="s4"/>
          <w:color w:val="000000" w:themeColor="text1"/>
          <w:sz w:val="28"/>
          <w:szCs w:val="28"/>
        </w:rPr>
        <w:t xml:space="preserve"> ЭД – </w:t>
      </w:r>
      <w:r w:rsidRPr="008849FA">
        <w:rPr>
          <w:rStyle w:val="s4"/>
          <w:color w:val="000000" w:themeColor="text1"/>
          <w:sz w:val="28"/>
          <w:szCs w:val="28"/>
        </w:rPr>
        <w:lastRenderedPageBreak/>
        <w:t xml:space="preserve">у 1 пациента (3,2%), </w:t>
      </w:r>
      <w:proofErr w:type="spellStart"/>
      <w:r w:rsidRPr="008849FA">
        <w:rPr>
          <w:rStyle w:val="s4"/>
          <w:color w:val="000000" w:themeColor="text1"/>
          <w:sz w:val="28"/>
          <w:szCs w:val="28"/>
        </w:rPr>
        <w:t>веногенная</w:t>
      </w:r>
      <w:proofErr w:type="spellEnd"/>
      <w:r w:rsidRPr="008849FA">
        <w:rPr>
          <w:rStyle w:val="s4"/>
          <w:color w:val="000000" w:themeColor="text1"/>
          <w:sz w:val="28"/>
          <w:szCs w:val="28"/>
        </w:rPr>
        <w:t xml:space="preserve"> ЭД – у 30 пациентов (96,8%); В контрольной группе </w:t>
      </w:r>
      <w:proofErr w:type="spellStart"/>
      <w:r w:rsidRPr="008849FA">
        <w:rPr>
          <w:rStyle w:val="s4"/>
          <w:color w:val="000000" w:themeColor="text1"/>
          <w:sz w:val="28"/>
          <w:szCs w:val="28"/>
        </w:rPr>
        <w:t>артериогенная</w:t>
      </w:r>
      <w:proofErr w:type="spellEnd"/>
      <w:r w:rsidRPr="008849FA">
        <w:rPr>
          <w:rStyle w:val="s4"/>
          <w:color w:val="000000" w:themeColor="text1"/>
          <w:sz w:val="28"/>
          <w:szCs w:val="28"/>
        </w:rPr>
        <w:t xml:space="preserve"> ЭД – у 1 пациента (3,3%), </w:t>
      </w:r>
      <w:proofErr w:type="spellStart"/>
      <w:r w:rsidRPr="008849FA">
        <w:rPr>
          <w:rStyle w:val="s4"/>
          <w:color w:val="000000" w:themeColor="text1"/>
          <w:sz w:val="28"/>
          <w:szCs w:val="28"/>
        </w:rPr>
        <w:t>веногенная</w:t>
      </w:r>
      <w:proofErr w:type="spellEnd"/>
      <w:r w:rsidRPr="008849FA">
        <w:rPr>
          <w:rStyle w:val="s4"/>
          <w:color w:val="000000" w:themeColor="text1"/>
          <w:sz w:val="28"/>
          <w:szCs w:val="28"/>
        </w:rPr>
        <w:t xml:space="preserve"> ЭД – у  29 пациентов (96,7%).</w:t>
      </w:r>
    </w:p>
    <w:p w:rsidR="009F79C8" w:rsidRPr="008849FA" w:rsidRDefault="009F79C8" w:rsidP="005146FA">
      <w:pPr>
        <w:pStyle w:val="p1"/>
        <w:spacing w:before="0" w:beforeAutospacing="0" w:after="0" w:afterAutospacing="0" w:line="360" w:lineRule="auto"/>
        <w:ind w:left="-284" w:firstLine="284"/>
        <w:jc w:val="both"/>
        <w:rPr>
          <w:rStyle w:val="s2"/>
          <w:color w:val="000000" w:themeColor="text1"/>
          <w:sz w:val="28"/>
          <w:szCs w:val="28"/>
        </w:rPr>
      </w:pPr>
      <w:r w:rsidRPr="008849FA">
        <w:rPr>
          <w:rStyle w:val="s2"/>
          <w:color w:val="000000" w:themeColor="text1"/>
          <w:sz w:val="28"/>
          <w:szCs w:val="28"/>
        </w:rPr>
        <w:t>В экспериментальной группе до лечения распределение по степеням ЭД, согласно опроснику МИЭФ-5, следующее: лёгкая степень – 7 (22,6%) пациентов, умеренная степень – 16 (51,6%) пациентов, выраженная степень – 8 (25,8%) пациентов. В группе контроля распределение по степеням: лёгкая степень – 13 (43,3%) пациентов, умеренная степень – 6 (20%) пациентов, выраженная степень – 11 (36,7%) пациентов (Таблица 1).</w:t>
      </w:r>
    </w:p>
    <w:p w:rsidR="009F79C8" w:rsidRDefault="009F79C8" w:rsidP="005146FA">
      <w:pPr>
        <w:pStyle w:val="p1"/>
        <w:spacing w:before="0" w:beforeAutospacing="0" w:after="0" w:afterAutospacing="0" w:line="360" w:lineRule="auto"/>
        <w:ind w:firstLine="426"/>
        <w:jc w:val="both"/>
        <w:rPr>
          <w:rStyle w:val="s2"/>
          <w:color w:val="000000" w:themeColor="text1"/>
          <w:sz w:val="28"/>
          <w:szCs w:val="28"/>
        </w:rPr>
      </w:pPr>
    </w:p>
    <w:p w:rsidR="009F79C8" w:rsidRPr="00FE78CF" w:rsidRDefault="009F79C8" w:rsidP="005146FA">
      <w:pPr>
        <w:pStyle w:val="a6"/>
        <w:spacing w:before="0" w:beforeAutospacing="0" w:after="0" w:afterAutospacing="0" w:line="276" w:lineRule="auto"/>
        <w:ind w:right="113"/>
        <w:jc w:val="both"/>
        <w:rPr>
          <w:b/>
          <w:bCs/>
        </w:rPr>
      </w:pPr>
      <w:r w:rsidRPr="00FE78CF">
        <w:rPr>
          <w:b/>
          <w:bCs/>
        </w:rPr>
        <w:t xml:space="preserve">Таблица </w:t>
      </w:r>
      <w:r w:rsidRPr="00A85A01">
        <w:rPr>
          <w:b/>
          <w:bCs/>
        </w:rPr>
        <w:t>1</w:t>
      </w:r>
      <w:r w:rsidRPr="00FE78CF">
        <w:rPr>
          <w:b/>
          <w:bCs/>
        </w:rPr>
        <w:t xml:space="preserve">. Распределение пациентов по степеням ЭД </w:t>
      </w:r>
      <w:r>
        <w:rPr>
          <w:b/>
          <w:bCs/>
        </w:rPr>
        <w:t>согласно</w:t>
      </w:r>
      <w:r w:rsidRPr="00FE78CF">
        <w:rPr>
          <w:b/>
          <w:bCs/>
        </w:rPr>
        <w:t xml:space="preserve"> опроснику МИЭФ-5</w:t>
      </w:r>
      <w:r>
        <w:rPr>
          <w:b/>
          <w:bCs/>
        </w:rPr>
        <w:t xml:space="preserve"> до лечения</w:t>
      </w:r>
      <w:r w:rsidRPr="00A870B1">
        <w:rPr>
          <w:b/>
          <w:bCs/>
        </w:rPr>
        <w:t xml:space="preserve"> </w:t>
      </w:r>
      <w:r>
        <w:rPr>
          <w:b/>
          <w:bCs/>
        </w:rPr>
        <w:t>радиоволновой терапией и после него.</w:t>
      </w:r>
    </w:p>
    <w:p w:rsidR="009F79C8" w:rsidRPr="00FE78CF" w:rsidRDefault="009F79C8" w:rsidP="005146FA">
      <w:pPr>
        <w:jc w:val="both"/>
      </w:pPr>
    </w:p>
    <w:tbl>
      <w:tblPr>
        <w:tblStyle w:val="a3"/>
        <w:tblW w:w="9215" w:type="dxa"/>
        <w:tblInd w:w="-289" w:type="dxa"/>
        <w:tblLayout w:type="fixed"/>
        <w:tblLook w:val="04A0" w:firstRow="1" w:lastRow="0" w:firstColumn="1" w:lastColumn="0" w:noHBand="0" w:noVBand="1"/>
      </w:tblPr>
      <w:tblGrid>
        <w:gridCol w:w="1985"/>
        <w:gridCol w:w="2091"/>
        <w:gridCol w:w="2091"/>
        <w:gridCol w:w="1630"/>
        <w:gridCol w:w="1418"/>
      </w:tblGrid>
      <w:tr w:rsidR="009F79C8" w:rsidRPr="00FE78CF" w:rsidTr="009F79C8">
        <w:tc>
          <w:tcPr>
            <w:tcW w:w="1985" w:type="dxa"/>
            <w:vAlign w:val="center"/>
          </w:tcPr>
          <w:p w:rsidR="009F79C8" w:rsidRPr="00FE78CF" w:rsidRDefault="009F79C8" w:rsidP="005146FA">
            <w:pPr>
              <w:jc w:val="both"/>
            </w:pPr>
          </w:p>
        </w:tc>
        <w:tc>
          <w:tcPr>
            <w:tcW w:w="2091" w:type="dxa"/>
            <w:vAlign w:val="center"/>
          </w:tcPr>
          <w:p w:rsidR="009F79C8" w:rsidRPr="00FE78CF" w:rsidRDefault="009F79C8" w:rsidP="005146FA">
            <w:pPr>
              <w:jc w:val="both"/>
            </w:pPr>
            <w:r w:rsidRPr="00FE78CF">
              <w:t>Отсутствие ЭД</w:t>
            </w:r>
          </w:p>
          <w:p w:rsidR="009F79C8" w:rsidRPr="00FE78CF" w:rsidRDefault="009F79C8" w:rsidP="005146FA">
            <w:pPr>
              <w:jc w:val="both"/>
            </w:pPr>
            <w:r w:rsidRPr="00FE78CF">
              <w:t>(</w:t>
            </w:r>
            <w:r w:rsidRPr="00FE78CF">
              <w:rPr>
                <w:lang w:val="en-US"/>
              </w:rPr>
              <w:t>&gt;20</w:t>
            </w:r>
            <w:r>
              <w:rPr>
                <w:lang w:val="en-US"/>
              </w:rPr>
              <w:t xml:space="preserve"> </w:t>
            </w:r>
            <w:r>
              <w:t>баллов</w:t>
            </w:r>
            <w:r w:rsidRPr="00FE78CF">
              <w:t>)</w:t>
            </w:r>
          </w:p>
        </w:tc>
        <w:tc>
          <w:tcPr>
            <w:tcW w:w="2091" w:type="dxa"/>
            <w:vAlign w:val="center"/>
          </w:tcPr>
          <w:p w:rsidR="009F79C8" w:rsidRPr="00FE78CF" w:rsidRDefault="009F79C8" w:rsidP="005146FA">
            <w:pPr>
              <w:jc w:val="both"/>
            </w:pPr>
            <w:r w:rsidRPr="00FE78CF">
              <w:t>Лёгкая степень</w:t>
            </w:r>
          </w:p>
          <w:p w:rsidR="009F79C8" w:rsidRPr="00FE78CF" w:rsidRDefault="009F79C8" w:rsidP="005146FA">
            <w:pPr>
              <w:jc w:val="both"/>
              <w:rPr>
                <w:lang w:val="en-US"/>
              </w:rPr>
            </w:pPr>
            <w:r w:rsidRPr="00FE78CF">
              <w:rPr>
                <w:lang w:val="en-US"/>
              </w:rPr>
              <w:t>(16-20</w:t>
            </w:r>
            <w:r>
              <w:t xml:space="preserve"> баллов</w:t>
            </w:r>
            <w:r w:rsidRPr="00FE78CF">
              <w:rPr>
                <w:lang w:val="en-US"/>
              </w:rPr>
              <w:t>)</w:t>
            </w:r>
          </w:p>
        </w:tc>
        <w:tc>
          <w:tcPr>
            <w:tcW w:w="1630" w:type="dxa"/>
            <w:vAlign w:val="center"/>
          </w:tcPr>
          <w:p w:rsidR="009F79C8" w:rsidRPr="00FE78CF" w:rsidRDefault="009F79C8" w:rsidP="005146FA">
            <w:pPr>
              <w:jc w:val="both"/>
            </w:pPr>
            <w:r w:rsidRPr="00FE78CF">
              <w:t>Умеренная степень</w:t>
            </w:r>
          </w:p>
          <w:p w:rsidR="009F79C8" w:rsidRPr="00FE78CF" w:rsidRDefault="009F79C8" w:rsidP="005146FA">
            <w:pPr>
              <w:jc w:val="both"/>
              <w:rPr>
                <w:lang w:val="en-US"/>
              </w:rPr>
            </w:pPr>
            <w:r w:rsidRPr="00FE78CF">
              <w:rPr>
                <w:lang w:val="en-US"/>
              </w:rPr>
              <w:t>(11-15</w:t>
            </w:r>
            <w:r>
              <w:t xml:space="preserve"> баллов</w:t>
            </w:r>
            <w:r w:rsidRPr="00FE78CF">
              <w:rPr>
                <w:lang w:val="en-US"/>
              </w:rPr>
              <w:t>)</w:t>
            </w:r>
          </w:p>
        </w:tc>
        <w:tc>
          <w:tcPr>
            <w:tcW w:w="1418" w:type="dxa"/>
            <w:vAlign w:val="center"/>
          </w:tcPr>
          <w:p w:rsidR="009F79C8" w:rsidRPr="00FE78CF" w:rsidRDefault="009F79C8" w:rsidP="005146FA">
            <w:pPr>
              <w:jc w:val="both"/>
            </w:pPr>
            <w:r w:rsidRPr="00FE78CF">
              <w:t>Выраженная степень</w:t>
            </w:r>
          </w:p>
          <w:p w:rsidR="009F79C8" w:rsidRPr="00FE78CF" w:rsidRDefault="009F79C8" w:rsidP="005146FA">
            <w:pPr>
              <w:jc w:val="both"/>
              <w:rPr>
                <w:lang w:val="en-US"/>
              </w:rPr>
            </w:pPr>
            <w:r w:rsidRPr="00FE78CF">
              <w:rPr>
                <w:lang w:val="en-US"/>
              </w:rPr>
              <w:t>(5-10</w:t>
            </w:r>
            <w:r>
              <w:t xml:space="preserve"> баллов</w:t>
            </w:r>
            <w:r w:rsidRPr="00FE78CF">
              <w:rPr>
                <w:lang w:val="en-US"/>
              </w:rPr>
              <w:t>)</w:t>
            </w:r>
          </w:p>
        </w:tc>
      </w:tr>
      <w:tr w:rsidR="009F79C8" w:rsidRPr="00FE78CF" w:rsidTr="009F79C8">
        <w:trPr>
          <w:trHeight w:val="352"/>
        </w:trPr>
        <w:tc>
          <w:tcPr>
            <w:tcW w:w="9215" w:type="dxa"/>
            <w:gridSpan w:val="5"/>
            <w:vAlign w:val="center"/>
          </w:tcPr>
          <w:p w:rsidR="009F79C8" w:rsidRPr="00FE78CF" w:rsidRDefault="009F79C8" w:rsidP="005146FA">
            <w:pPr>
              <w:jc w:val="both"/>
              <w:rPr>
                <w:b/>
                <w:bCs/>
              </w:rPr>
            </w:pPr>
            <w:r w:rsidRPr="00FE78CF">
              <w:rPr>
                <w:b/>
                <w:bCs/>
              </w:rPr>
              <w:t>Экспериментальная группа (</w:t>
            </w:r>
            <w:r w:rsidRPr="00FE78CF">
              <w:rPr>
                <w:b/>
                <w:bCs/>
                <w:lang w:val="en-US"/>
              </w:rPr>
              <w:t>n= 31</w:t>
            </w:r>
            <w:r w:rsidRPr="00FE78CF">
              <w:rPr>
                <w:b/>
                <w:bCs/>
              </w:rPr>
              <w:t>)</w:t>
            </w:r>
          </w:p>
        </w:tc>
      </w:tr>
      <w:tr w:rsidR="009F79C8" w:rsidRPr="00FE78CF" w:rsidTr="009F79C8">
        <w:trPr>
          <w:trHeight w:val="352"/>
        </w:trPr>
        <w:tc>
          <w:tcPr>
            <w:tcW w:w="1985" w:type="dxa"/>
            <w:vAlign w:val="center"/>
          </w:tcPr>
          <w:p w:rsidR="009F79C8" w:rsidRPr="00FE78CF" w:rsidRDefault="009F79C8" w:rsidP="005146FA">
            <w:pPr>
              <w:jc w:val="both"/>
            </w:pPr>
            <w:r w:rsidRPr="00FE78CF">
              <w:t>До лечения</w:t>
            </w:r>
          </w:p>
        </w:tc>
        <w:tc>
          <w:tcPr>
            <w:tcW w:w="2091" w:type="dxa"/>
            <w:vAlign w:val="center"/>
          </w:tcPr>
          <w:p w:rsidR="009F79C8" w:rsidRPr="00FE78CF" w:rsidRDefault="009F79C8" w:rsidP="005146FA">
            <w:pPr>
              <w:jc w:val="both"/>
            </w:pPr>
            <w:r w:rsidRPr="00FE78CF">
              <w:t>-</w:t>
            </w:r>
          </w:p>
        </w:tc>
        <w:tc>
          <w:tcPr>
            <w:tcW w:w="2091" w:type="dxa"/>
            <w:vAlign w:val="center"/>
          </w:tcPr>
          <w:p w:rsidR="009F79C8" w:rsidRPr="00D95B72" w:rsidRDefault="009F79C8" w:rsidP="005146FA">
            <w:pPr>
              <w:jc w:val="both"/>
            </w:pPr>
            <w:r w:rsidRPr="00FE78CF">
              <w:rPr>
                <w:lang w:val="en-US"/>
              </w:rPr>
              <w:t>7</w:t>
            </w:r>
            <w:r>
              <w:t xml:space="preserve"> (</w:t>
            </w:r>
            <w:r>
              <w:rPr>
                <w:lang w:val="en-US"/>
              </w:rPr>
              <w:t>22</w:t>
            </w:r>
            <w:r>
              <w:t>,</w:t>
            </w:r>
            <w:r>
              <w:rPr>
                <w:lang w:val="en-US"/>
              </w:rPr>
              <w:t>6%</w:t>
            </w:r>
            <w:r>
              <w:t>)</w:t>
            </w:r>
          </w:p>
        </w:tc>
        <w:tc>
          <w:tcPr>
            <w:tcW w:w="1630" w:type="dxa"/>
            <w:vAlign w:val="center"/>
          </w:tcPr>
          <w:p w:rsidR="009F79C8" w:rsidRPr="00FE78CF" w:rsidRDefault="009F79C8" w:rsidP="005146FA">
            <w:pPr>
              <w:jc w:val="both"/>
              <w:rPr>
                <w:lang w:val="en-US"/>
              </w:rPr>
            </w:pPr>
            <w:r w:rsidRPr="00FE78CF">
              <w:rPr>
                <w:lang w:val="en-US"/>
              </w:rPr>
              <w:t>16</w:t>
            </w:r>
            <w:r>
              <w:rPr>
                <w:lang w:val="en-US"/>
              </w:rPr>
              <w:t xml:space="preserve"> (51,6%)</w:t>
            </w:r>
          </w:p>
        </w:tc>
        <w:tc>
          <w:tcPr>
            <w:tcW w:w="1418" w:type="dxa"/>
            <w:vAlign w:val="center"/>
          </w:tcPr>
          <w:p w:rsidR="009F79C8" w:rsidRPr="00FE78CF" w:rsidRDefault="009F79C8" w:rsidP="005146FA">
            <w:pPr>
              <w:jc w:val="both"/>
              <w:rPr>
                <w:lang w:val="en-US"/>
              </w:rPr>
            </w:pPr>
            <w:r w:rsidRPr="00FE78CF">
              <w:rPr>
                <w:lang w:val="en-US"/>
              </w:rPr>
              <w:t>8</w:t>
            </w:r>
            <w:r>
              <w:rPr>
                <w:lang w:val="en-US"/>
              </w:rPr>
              <w:t xml:space="preserve"> (25,8%)</w:t>
            </w:r>
          </w:p>
        </w:tc>
      </w:tr>
      <w:tr w:rsidR="009F79C8" w:rsidRPr="00FE78CF" w:rsidTr="009F79C8">
        <w:trPr>
          <w:trHeight w:val="352"/>
        </w:trPr>
        <w:tc>
          <w:tcPr>
            <w:tcW w:w="1985" w:type="dxa"/>
            <w:vAlign w:val="center"/>
          </w:tcPr>
          <w:p w:rsidR="009F79C8" w:rsidRPr="00FE78CF" w:rsidRDefault="009F79C8" w:rsidP="005146FA">
            <w:pPr>
              <w:jc w:val="both"/>
            </w:pPr>
            <w:r w:rsidRPr="00FE78CF">
              <w:t>После лечения</w:t>
            </w:r>
          </w:p>
        </w:tc>
        <w:tc>
          <w:tcPr>
            <w:tcW w:w="2091" w:type="dxa"/>
            <w:vAlign w:val="center"/>
          </w:tcPr>
          <w:p w:rsidR="009F79C8" w:rsidRPr="00FE78CF" w:rsidRDefault="009F79C8" w:rsidP="005146FA">
            <w:pPr>
              <w:jc w:val="both"/>
              <w:rPr>
                <w:lang w:val="en-US"/>
              </w:rPr>
            </w:pPr>
            <w:r w:rsidRPr="00FE78CF">
              <w:rPr>
                <w:lang w:val="en-US"/>
              </w:rPr>
              <w:t>14</w:t>
            </w:r>
            <w:r>
              <w:rPr>
                <w:lang w:val="en-US"/>
              </w:rPr>
              <w:t xml:space="preserve"> (45,2%)</w:t>
            </w:r>
          </w:p>
        </w:tc>
        <w:tc>
          <w:tcPr>
            <w:tcW w:w="2091" w:type="dxa"/>
            <w:vAlign w:val="center"/>
          </w:tcPr>
          <w:p w:rsidR="009F79C8" w:rsidRPr="00FE78CF" w:rsidRDefault="009F79C8" w:rsidP="005146FA">
            <w:pPr>
              <w:jc w:val="both"/>
              <w:rPr>
                <w:lang w:val="en-US"/>
              </w:rPr>
            </w:pPr>
            <w:r w:rsidRPr="00FE78CF">
              <w:rPr>
                <w:lang w:val="en-US"/>
              </w:rPr>
              <w:t>12</w:t>
            </w:r>
            <w:r>
              <w:rPr>
                <w:lang w:val="en-US"/>
              </w:rPr>
              <w:t xml:space="preserve"> (38,7%)</w:t>
            </w:r>
          </w:p>
        </w:tc>
        <w:tc>
          <w:tcPr>
            <w:tcW w:w="1630" w:type="dxa"/>
            <w:vAlign w:val="center"/>
          </w:tcPr>
          <w:p w:rsidR="009F79C8" w:rsidRPr="00FE78CF" w:rsidRDefault="009F79C8" w:rsidP="005146FA">
            <w:pPr>
              <w:jc w:val="both"/>
              <w:rPr>
                <w:lang w:val="en-US"/>
              </w:rPr>
            </w:pPr>
            <w:r w:rsidRPr="00FE78CF">
              <w:rPr>
                <w:lang w:val="en-US"/>
              </w:rPr>
              <w:t>5</w:t>
            </w:r>
            <w:r>
              <w:rPr>
                <w:lang w:val="en-US"/>
              </w:rPr>
              <w:t xml:space="preserve"> (16,1%)</w:t>
            </w:r>
          </w:p>
        </w:tc>
        <w:tc>
          <w:tcPr>
            <w:tcW w:w="1418" w:type="dxa"/>
            <w:vAlign w:val="center"/>
          </w:tcPr>
          <w:p w:rsidR="009F79C8" w:rsidRPr="00FE78CF" w:rsidRDefault="009F79C8" w:rsidP="005146FA">
            <w:pPr>
              <w:jc w:val="both"/>
              <w:rPr>
                <w:lang w:val="en-US"/>
              </w:rPr>
            </w:pPr>
            <w:r w:rsidRPr="00FE78CF">
              <w:rPr>
                <w:lang w:val="en-US"/>
              </w:rPr>
              <w:t>-</w:t>
            </w:r>
          </w:p>
        </w:tc>
      </w:tr>
      <w:tr w:rsidR="009F79C8" w:rsidRPr="00FE78CF" w:rsidTr="009F79C8">
        <w:trPr>
          <w:trHeight w:val="352"/>
        </w:trPr>
        <w:tc>
          <w:tcPr>
            <w:tcW w:w="9215" w:type="dxa"/>
            <w:gridSpan w:val="5"/>
            <w:vAlign w:val="center"/>
          </w:tcPr>
          <w:p w:rsidR="009F79C8" w:rsidRPr="00FE78CF" w:rsidRDefault="009F79C8" w:rsidP="005146FA">
            <w:pPr>
              <w:jc w:val="both"/>
              <w:rPr>
                <w:b/>
                <w:bCs/>
                <w:lang w:val="en-US"/>
              </w:rPr>
            </w:pPr>
            <w:r w:rsidRPr="00FE78CF">
              <w:rPr>
                <w:b/>
                <w:bCs/>
              </w:rPr>
              <w:t>Контрольная группа</w:t>
            </w:r>
            <w:r w:rsidRPr="00FE78CF">
              <w:rPr>
                <w:b/>
                <w:bCs/>
                <w:lang w:val="en-US"/>
              </w:rPr>
              <w:t xml:space="preserve"> (n=30)</w:t>
            </w:r>
          </w:p>
        </w:tc>
      </w:tr>
      <w:tr w:rsidR="009F79C8" w:rsidRPr="00FE78CF" w:rsidTr="009F79C8">
        <w:trPr>
          <w:trHeight w:val="352"/>
        </w:trPr>
        <w:tc>
          <w:tcPr>
            <w:tcW w:w="1985" w:type="dxa"/>
            <w:vAlign w:val="center"/>
          </w:tcPr>
          <w:p w:rsidR="009F79C8" w:rsidRPr="00FE78CF" w:rsidRDefault="009F79C8" w:rsidP="005146FA">
            <w:pPr>
              <w:jc w:val="both"/>
            </w:pPr>
            <w:r w:rsidRPr="00FE78CF">
              <w:t>До лечения</w:t>
            </w:r>
          </w:p>
        </w:tc>
        <w:tc>
          <w:tcPr>
            <w:tcW w:w="2091" w:type="dxa"/>
            <w:vAlign w:val="center"/>
          </w:tcPr>
          <w:p w:rsidR="009F79C8" w:rsidRPr="00FE78CF" w:rsidRDefault="009F79C8" w:rsidP="005146FA">
            <w:pPr>
              <w:jc w:val="both"/>
              <w:rPr>
                <w:lang w:val="en-US"/>
              </w:rPr>
            </w:pPr>
            <w:r w:rsidRPr="00FE78CF">
              <w:rPr>
                <w:lang w:val="en-US"/>
              </w:rPr>
              <w:t>-</w:t>
            </w:r>
          </w:p>
        </w:tc>
        <w:tc>
          <w:tcPr>
            <w:tcW w:w="2091" w:type="dxa"/>
            <w:vAlign w:val="center"/>
          </w:tcPr>
          <w:p w:rsidR="009F79C8" w:rsidRPr="00FE78CF" w:rsidRDefault="009F79C8" w:rsidP="005146FA">
            <w:pPr>
              <w:jc w:val="both"/>
              <w:rPr>
                <w:lang w:val="en-US"/>
              </w:rPr>
            </w:pPr>
            <w:r w:rsidRPr="00FE78CF">
              <w:rPr>
                <w:lang w:val="en-US"/>
              </w:rPr>
              <w:t>13</w:t>
            </w:r>
            <w:r>
              <w:rPr>
                <w:lang w:val="en-US"/>
              </w:rPr>
              <w:t xml:space="preserve"> (43,3%)</w:t>
            </w:r>
          </w:p>
        </w:tc>
        <w:tc>
          <w:tcPr>
            <w:tcW w:w="1630" w:type="dxa"/>
            <w:vAlign w:val="center"/>
          </w:tcPr>
          <w:p w:rsidR="009F79C8" w:rsidRPr="00FE78CF" w:rsidRDefault="009F79C8" w:rsidP="005146FA">
            <w:pPr>
              <w:jc w:val="both"/>
              <w:rPr>
                <w:lang w:val="en-US"/>
              </w:rPr>
            </w:pPr>
            <w:r w:rsidRPr="00FE78CF">
              <w:rPr>
                <w:lang w:val="en-US"/>
              </w:rPr>
              <w:t>6</w:t>
            </w:r>
            <w:r>
              <w:rPr>
                <w:lang w:val="en-US"/>
              </w:rPr>
              <w:t xml:space="preserve"> (20%)</w:t>
            </w:r>
          </w:p>
        </w:tc>
        <w:tc>
          <w:tcPr>
            <w:tcW w:w="1418" w:type="dxa"/>
            <w:vAlign w:val="center"/>
          </w:tcPr>
          <w:p w:rsidR="009F79C8" w:rsidRPr="00FE78CF" w:rsidRDefault="009F79C8" w:rsidP="005146FA">
            <w:pPr>
              <w:jc w:val="both"/>
              <w:rPr>
                <w:lang w:val="en-US"/>
              </w:rPr>
            </w:pPr>
            <w:r w:rsidRPr="00FE78CF">
              <w:rPr>
                <w:lang w:val="en-US"/>
              </w:rPr>
              <w:t>11</w:t>
            </w:r>
            <w:r>
              <w:rPr>
                <w:lang w:val="en-US"/>
              </w:rPr>
              <w:t xml:space="preserve"> (36,7%)</w:t>
            </w:r>
          </w:p>
        </w:tc>
      </w:tr>
      <w:tr w:rsidR="009F79C8" w:rsidRPr="00FE78CF" w:rsidTr="009F79C8">
        <w:trPr>
          <w:trHeight w:val="352"/>
        </w:trPr>
        <w:tc>
          <w:tcPr>
            <w:tcW w:w="1985" w:type="dxa"/>
            <w:vAlign w:val="center"/>
          </w:tcPr>
          <w:p w:rsidR="009F79C8" w:rsidRPr="00FE78CF" w:rsidRDefault="009F79C8" w:rsidP="005146FA">
            <w:pPr>
              <w:jc w:val="both"/>
            </w:pPr>
            <w:r w:rsidRPr="00FE78CF">
              <w:t>После лечения</w:t>
            </w:r>
          </w:p>
        </w:tc>
        <w:tc>
          <w:tcPr>
            <w:tcW w:w="2091" w:type="dxa"/>
            <w:vAlign w:val="center"/>
          </w:tcPr>
          <w:p w:rsidR="009F79C8" w:rsidRPr="00D95B72" w:rsidRDefault="009F79C8" w:rsidP="005146FA">
            <w:pPr>
              <w:jc w:val="both"/>
              <w:rPr>
                <w:lang w:val="en-US"/>
              </w:rPr>
            </w:pPr>
            <w:r>
              <w:t>1</w:t>
            </w:r>
            <w:r>
              <w:rPr>
                <w:lang w:val="en-US"/>
              </w:rPr>
              <w:t xml:space="preserve"> (3,3%)</w:t>
            </w:r>
          </w:p>
        </w:tc>
        <w:tc>
          <w:tcPr>
            <w:tcW w:w="2091" w:type="dxa"/>
            <w:vAlign w:val="center"/>
          </w:tcPr>
          <w:p w:rsidR="009F79C8" w:rsidRPr="00D95B72" w:rsidRDefault="009F79C8" w:rsidP="005146FA">
            <w:pPr>
              <w:jc w:val="both"/>
              <w:rPr>
                <w:lang w:val="en-US"/>
              </w:rPr>
            </w:pPr>
            <w:r w:rsidRPr="00FE78CF">
              <w:rPr>
                <w:lang w:val="en-US"/>
              </w:rPr>
              <w:t>1</w:t>
            </w:r>
            <w:r>
              <w:t>4</w:t>
            </w:r>
            <w:r>
              <w:rPr>
                <w:lang w:val="en-US"/>
              </w:rPr>
              <w:t xml:space="preserve"> (46,7%)</w:t>
            </w:r>
          </w:p>
        </w:tc>
        <w:tc>
          <w:tcPr>
            <w:tcW w:w="1630" w:type="dxa"/>
            <w:vAlign w:val="center"/>
          </w:tcPr>
          <w:p w:rsidR="009F79C8" w:rsidRPr="00FE78CF" w:rsidRDefault="009F79C8" w:rsidP="005146FA">
            <w:pPr>
              <w:jc w:val="both"/>
              <w:rPr>
                <w:lang w:val="en-US"/>
              </w:rPr>
            </w:pPr>
            <w:r w:rsidRPr="00FE78CF">
              <w:rPr>
                <w:lang w:val="en-US"/>
              </w:rPr>
              <w:t>9</w:t>
            </w:r>
            <w:r>
              <w:rPr>
                <w:lang w:val="en-US"/>
              </w:rPr>
              <w:t xml:space="preserve"> (30%)</w:t>
            </w:r>
          </w:p>
        </w:tc>
        <w:tc>
          <w:tcPr>
            <w:tcW w:w="1418" w:type="dxa"/>
            <w:vAlign w:val="center"/>
          </w:tcPr>
          <w:p w:rsidR="009F79C8" w:rsidRPr="00FE78CF" w:rsidRDefault="009F79C8" w:rsidP="005146FA">
            <w:pPr>
              <w:jc w:val="both"/>
              <w:rPr>
                <w:lang w:val="en-US"/>
              </w:rPr>
            </w:pPr>
            <w:r w:rsidRPr="00FE78CF">
              <w:rPr>
                <w:lang w:val="en-US"/>
              </w:rPr>
              <w:t>6</w:t>
            </w:r>
            <w:r>
              <w:rPr>
                <w:lang w:val="en-US"/>
              </w:rPr>
              <w:t xml:space="preserve"> (20%)</w:t>
            </w:r>
          </w:p>
        </w:tc>
      </w:tr>
    </w:tbl>
    <w:p w:rsidR="009F79C8" w:rsidRPr="00D94419" w:rsidRDefault="009F79C8" w:rsidP="005146FA">
      <w:pPr>
        <w:pStyle w:val="p1"/>
        <w:spacing w:before="0" w:beforeAutospacing="0" w:after="0" w:afterAutospacing="0" w:line="360" w:lineRule="auto"/>
        <w:ind w:firstLine="426"/>
        <w:jc w:val="both"/>
        <w:rPr>
          <w:color w:val="000000" w:themeColor="text1"/>
          <w:sz w:val="28"/>
          <w:szCs w:val="28"/>
        </w:rPr>
      </w:pPr>
    </w:p>
    <w:p w:rsidR="009F79C8" w:rsidRPr="00EB06A9" w:rsidRDefault="009F79C8" w:rsidP="005146FA">
      <w:pPr>
        <w:pStyle w:val="p1"/>
        <w:spacing w:before="0" w:beforeAutospacing="0" w:after="0" w:afterAutospacing="0" w:line="360" w:lineRule="auto"/>
        <w:ind w:firstLine="426"/>
        <w:jc w:val="both"/>
        <w:rPr>
          <w:color w:val="000000" w:themeColor="text1"/>
          <w:sz w:val="28"/>
          <w:szCs w:val="28"/>
        </w:rPr>
      </w:pPr>
      <w:r w:rsidRPr="00EB06A9">
        <w:rPr>
          <w:rStyle w:val="s2"/>
          <w:color w:val="000000" w:themeColor="text1"/>
          <w:sz w:val="28"/>
          <w:szCs w:val="28"/>
        </w:rPr>
        <w:t xml:space="preserve">Средний балл по опросникам МИЭФ-5, SEP и </w:t>
      </w:r>
      <w:r>
        <w:rPr>
          <w:rStyle w:val="s2"/>
          <w:color w:val="000000" w:themeColor="text1"/>
          <w:sz w:val="28"/>
          <w:szCs w:val="28"/>
        </w:rPr>
        <w:t xml:space="preserve">шкале </w:t>
      </w:r>
      <w:proofErr w:type="spellStart"/>
      <w:r w:rsidRPr="00EB06A9">
        <w:rPr>
          <w:rStyle w:val="s2"/>
          <w:color w:val="000000" w:themeColor="text1"/>
          <w:sz w:val="28"/>
          <w:szCs w:val="28"/>
        </w:rPr>
        <w:t>Schramek</w:t>
      </w:r>
      <w:proofErr w:type="spellEnd"/>
      <w:r w:rsidRPr="00EB06A9">
        <w:rPr>
          <w:rStyle w:val="s2"/>
          <w:color w:val="000000" w:themeColor="text1"/>
          <w:sz w:val="28"/>
          <w:szCs w:val="28"/>
        </w:rPr>
        <w:t xml:space="preserve"> до лечения между экспериментальной и контрольной группами (p=0,675, р=0,128 и p=0,679, соответственно) не отличается. Данные ультразвукового исследования (ПСС, КДС, ИР) справа (р=0,451; р=0,525; р=0,512 соответственно) и слева (р=0,536; р=0,380; р=0,638 и соответственно) также сравнимы между группами</w:t>
      </w:r>
      <w:r w:rsidRPr="003A2BD3">
        <w:rPr>
          <w:rStyle w:val="s2"/>
          <w:color w:val="000000" w:themeColor="text1"/>
          <w:sz w:val="28"/>
          <w:szCs w:val="28"/>
        </w:rPr>
        <w:t xml:space="preserve"> (</w:t>
      </w:r>
      <w:r>
        <w:rPr>
          <w:rStyle w:val="s2"/>
          <w:color w:val="000000" w:themeColor="text1"/>
          <w:sz w:val="28"/>
          <w:szCs w:val="28"/>
        </w:rPr>
        <w:t>Таблица 2</w:t>
      </w:r>
      <w:r w:rsidRPr="003A2BD3">
        <w:rPr>
          <w:rStyle w:val="s2"/>
          <w:color w:val="000000" w:themeColor="text1"/>
          <w:sz w:val="28"/>
          <w:szCs w:val="28"/>
        </w:rPr>
        <w:t>)</w:t>
      </w:r>
      <w:r w:rsidRPr="00EB06A9">
        <w:rPr>
          <w:rStyle w:val="s2"/>
          <w:color w:val="000000" w:themeColor="text1"/>
          <w:sz w:val="28"/>
          <w:szCs w:val="28"/>
        </w:rPr>
        <w:t>.</w:t>
      </w:r>
    </w:p>
    <w:p w:rsidR="009F79C8" w:rsidRPr="00EB06A9" w:rsidRDefault="009F79C8" w:rsidP="005146FA">
      <w:pPr>
        <w:pStyle w:val="p1"/>
        <w:spacing w:before="0" w:beforeAutospacing="0" w:after="0" w:afterAutospacing="0" w:line="360" w:lineRule="auto"/>
        <w:ind w:firstLine="426"/>
        <w:jc w:val="both"/>
        <w:rPr>
          <w:color w:val="000000" w:themeColor="text1"/>
          <w:sz w:val="28"/>
          <w:szCs w:val="28"/>
        </w:rPr>
      </w:pPr>
      <w:r w:rsidRPr="00EB06A9">
        <w:rPr>
          <w:rStyle w:val="s2"/>
          <w:color w:val="000000" w:themeColor="text1"/>
          <w:sz w:val="28"/>
          <w:szCs w:val="28"/>
        </w:rPr>
        <w:t>Согласно опросникам МИЭФ-5 (</w:t>
      </w:r>
      <w:proofErr w:type="gramStart"/>
      <w:r w:rsidRPr="00EB06A9">
        <w:rPr>
          <w:rStyle w:val="s2"/>
          <w:color w:val="000000" w:themeColor="text1"/>
          <w:sz w:val="28"/>
          <w:szCs w:val="28"/>
        </w:rPr>
        <w:t>p&lt;</w:t>
      </w:r>
      <w:proofErr w:type="gramEnd"/>
      <w:r w:rsidRPr="00EB06A9">
        <w:rPr>
          <w:rStyle w:val="s2"/>
          <w:color w:val="000000" w:themeColor="text1"/>
          <w:sz w:val="28"/>
          <w:szCs w:val="28"/>
        </w:rPr>
        <w:t xml:space="preserve">0,001), SEP (p&lt;0,001) и </w:t>
      </w:r>
      <w:r>
        <w:rPr>
          <w:rStyle w:val="s2"/>
          <w:color w:val="000000" w:themeColor="text1"/>
          <w:sz w:val="28"/>
          <w:szCs w:val="28"/>
        </w:rPr>
        <w:t xml:space="preserve">шкале </w:t>
      </w:r>
      <w:proofErr w:type="spellStart"/>
      <w:r w:rsidRPr="00EB06A9">
        <w:rPr>
          <w:rStyle w:val="s2"/>
          <w:color w:val="000000" w:themeColor="text1"/>
          <w:sz w:val="28"/>
          <w:szCs w:val="28"/>
        </w:rPr>
        <w:t>Schramek</w:t>
      </w:r>
      <w:proofErr w:type="spellEnd"/>
      <w:r w:rsidRPr="00EB06A9">
        <w:rPr>
          <w:rStyle w:val="s2"/>
          <w:color w:val="000000" w:themeColor="text1"/>
          <w:sz w:val="28"/>
          <w:szCs w:val="28"/>
        </w:rPr>
        <w:t xml:space="preserve"> (p&lt;0,001) в экспериментальной группе отмечено статистически значимое увеличение среднего балла после проведенного лечения. В группе контроля статистически значимых различий не выявлено</w:t>
      </w:r>
      <w:r>
        <w:rPr>
          <w:rStyle w:val="s2"/>
          <w:color w:val="000000" w:themeColor="text1"/>
          <w:sz w:val="28"/>
          <w:szCs w:val="28"/>
        </w:rPr>
        <w:t xml:space="preserve"> </w:t>
      </w:r>
      <w:r w:rsidRPr="003A2BD3">
        <w:rPr>
          <w:rStyle w:val="s2"/>
          <w:color w:val="000000" w:themeColor="text1"/>
          <w:sz w:val="28"/>
          <w:szCs w:val="28"/>
        </w:rPr>
        <w:t>(</w:t>
      </w:r>
      <w:r>
        <w:rPr>
          <w:rStyle w:val="s2"/>
          <w:color w:val="000000" w:themeColor="text1"/>
          <w:sz w:val="28"/>
          <w:szCs w:val="28"/>
        </w:rPr>
        <w:t>Таблица 2</w:t>
      </w:r>
      <w:r w:rsidRPr="003A2BD3">
        <w:rPr>
          <w:rStyle w:val="s2"/>
          <w:color w:val="000000" w:themeColor="text1"/>
          <w:sz w:val="28"/>
          <w:szCs w:val="28"/>
        </w:rPr>
        <w:t>)</w:t>
      </w:r>
      <w:r w:rsidRPr="00EB06A9">
        <w:rPr>
          <w:rStyle w:val="s2"/>
          <w:color w:val="000000" w:themeColor="text1"/>
          <w:sz w:val="28"/>
          <w:szCs w:val="28"/>
        </w:rPr>
        <w:t>.</w:t>
      </w:r>
    </w:p>
    <w:p w:rsidR="009F79C8" w:rsidRPr="00EB06A9" w:rsidRDefault="009F79C8" w:rsidP="005146FA">
      <w:pPr>
        <w:pStyle w:val="p1"/>
        <w:spacing w:before="0" w:beforeAutospacing="0" w:after="0" w:afterAutospacing="0" w:line="360" w:lineRule="auto"/>
        <w:ind w:firstLine="426"/>
        <w:jc w:val="both"/>
        <w:rPr>
          <w:color w:val="000000" w:themeColor="text1"/>
          <w:sz w:val="28"/>
          <w:szCs w:val="28"/>
        </w:rPr>
      </w:pPr>
      <w:r w:rsidRPr="00EB06A9">
        <w:rPr>
          <w:rStyle w:val="s2"/>
          <w:color w:val="000000" w:themeColor="text1"/>
          <w:sz w:val="28"/>
          <w:szCs w:val="28"/>
        </w:rPr>
        <w:lastRenderedPageBreak/>
        <w:t xml:space="preserve">Время ответа на препарат и время </w:t>
      </w:r>
      <w:proofErr w:type="spellStart"/>
      <w:r w:rsidRPr="00EB06A9">
        <w:rPr>
          <w:rStyle w:val="s2"/>
          <w:color w:val="000000" w:themeColor="text1"/>
          <w:sz w:val="28"/>
          <w:szCs w:val="28"/>
        </w:rPr>
        <w:t>детумесценции</w:t>
      </w:r>
      <w:proofErr w:type="spellEnd"/>
      <w:r w:rsidRPr="00EB06A9">
        <w:rPr>
          <w:rStyle w:val="s2"/>
          <w:color w:val="000000" w:themeColor="text1"/>
          <w:sz w:val="28"/>
          <w:szCs w:val="28"/>
        </w:rPr>
        <w:t xml:space="preserve"> статистически значимо различаются до начала и после проведенного лечения в экспериментальной группе (</w:t>
      </w:r>
      <w:proofErr w:type="gramStart"/>
      <w:r w:rsidRPr="00EB06A9">
        <w:rPr>
          <w:rStyle w:val="s2"/>
          <w:color w:val="000000" w:themeColor="text1"/>
          <w:sz w:val="28"/>
          <w:szCs w:val="28"/>
        </w:rPr>
        <w:t>р&lt;</w:t>
      </w:r>
      <w:proofErr w:type="gramEnd"/>
      <w:r w:rsidRPr="00EB06A9">
        <w:rPr>
          <w:rStyle w:val="s2"/>
          <w:color w:val="000000" w:themeColor="text1"/>
          <w:sz w:val="28"/>
          <w:szCs w:val="28"/>
        </w:rPr>
        <w:t xml:space="preserve">0,001 и р=0,009 соответственно). В то время как в группе контроля статистически значимых различий во времени ответа на препарат и времени </w:t>
      </w:r>
      <w:proofErr w:type="spellStart"/>
      <w:r w:rsidRPr="00EB06A9">
        <w:rPr>
          <w:rStyle w:val="s2"/>
          <w:color w:val="000000" w:themeColor="text1"/>
          <w:sz w:val="28"/>
          <w:szCs w:val="28"/>
        </w:rPr>
        <w:t>детумесценции</w:t>
      </w:r>
      <w:proofErr w:type="spellEnd"/>
      <w:r w:rsidRPr="00EB06A9">
        <w:rPr>
          <w:rStyle w:val="s2"/>
          <w:color w:val="000000" w:themeColor="text1"/>
          <w:sz w:val="28"/>
          <w:szCs w:val="28"/>
        </w:rPr>
        <w:t xml:space="preserve"> до и после лечения не выявлено (р=0,710 и р=0,417 соответственно)</w:t>
      </w:r>
      <w:r w:rsidRPr="003A2BD3">
        <w:rPr>
          <w:rStyle w:val="s2"/>
          <w:color w:val="000000" w:themeColor="text1"/>
          <w:sz w:val="28"/>
          <w:szCs w:val="28"/>
        </w:rPr>
        <w:t xml:space="preserve"> (</w:t>
      </w:r>
      <w:r>
        <w:rPr>
          <w:rStyle w:val="s2"/>
          <w:color w:val="000000" w:themeColor="text1"/>
          <w:sz w:val="28"/>
          <w:szCs w:val="28"/>
        </w:rPr>
        <w:t>Таблица 2</w:t>
      </w:r>
      <w:r w:rsidRPr="003A2BD3">
        <w:rPr>
          <w:rStyle w:val="s2"/>
          <w:color w:val="000000" w:themeColor="text1"/>
          <w:sz w:val="28"/>
          <w:szCs w:val="28"/>
        </w:rPr>
        <w:t>)</w:t>
      </w:r>
      <w:r w:rsidRPr="00EB06A9">
        <w:rPr>
          <w:rStyle w:val="s2"/>
          <w:color w:val="000000" w:themeColor="text1"/>
          <w:sz w:val="28"/>
          <w:szCs w:val="28"/>
        </w:rPr>
        <w:t>.</w:t>
      </w:r>
    </w:p>
    <w:p w:rsidR="009F79C8" w:rsidRPr="005E7070" w:rsidRDefault="009F79C8" w:rsidP="005146FA">
      <w:pPr>
        <w:pStyle w:val="p1"/>
        <w:spacing w:before="0" w:beforeAutospacing="0" w:after="0" w:afterAutospacing="0" w:line="360" w:lineRule="auto"/>
        <w:ind w:firstLine="426"/>
        <w:jc w:val="both"/>
        <w:rPr>
          <w:color w:val="000000" w:themeColor="text1"/>
          <w:sz w:val="28"/>
          <w:szCs w:val="28"/>
        </w:rPr>
      </w:pPr>
      <w:r w:rsidRPr="00EB06A9">
        <w:rPr>
          <w:rStyle w:val="s2"/>
          <w:color w:val="000000" w:themeColor="text1"/>
          <w:sz w:val="28"/>
          <w:szCs w:val="28"/>
        </w:rPr>
        <w:t xml:space="preserve">До и после лечения в экспериментальной группе выявлено статистически значимое различие между результатами ультразвуковой допплерографии с фармакологической нагрузкой: КДС и ИР справа (р=0,001 и р=0,001; соответственно) и слева ПСС, КДС, ИР (р=0,040; р=0,001; р=0,001 соответственно). В </w:t>
      </w:r>
      <w:r w:rsidRPr="005E7070">
        <w:rPr>
          <w:rStyle w:val="s2"/>
          <w:color w:val="000000" w:themeColor="text1"/>
          <w:sz w:val="28"/>
          <w:szCs w:val="28"/>
        </w:rPr>
        <w:t>группе контроля статистически значимых различий не выявлено</w:t>
      </w:r>
      <w:r>
        <w:rPr>
          <w:rStyle w:val="s2"/>
          <w:color w:val="000000" w:themeColor="text1"/>
          <w:sz w:val="28"/>
          <w:szCs w:val="28"/>
        </w:rPr>
        <w:t xml:space="preserve"> </w:t>
      </w:r>
      <w:r w:rsidRPr="003A2BD3">
        <w:rPr>
          <w:rStyle w:val="s2"/>
          <w:color w:val="000000" w:themeColor="text1"/>
          <w:sz w:val="28"/>
          <w:szCs w:val="28"/>
        </w:rPr>
        <w:t>(</w:t>
      </w:r>
      <w:r>
        <w:rPr>
          <w:rStyle w:val="s2"/>
          <w:color w:val="000000" w:themeColor="text1"/>
          <w:sz w:val="28"/>
          <w:szCs w:val="28"/>
        </w:rPr>
        <w:t>Таблица 2</w:t>
      </w:r>
      <w:r w:rsidRPr="003A2BD3">
        <w:rPr>
          <w:rStyle w:val="s2"/>
          <w:color w:val="000000" w:themeColor="text1"/>
          <w:sz w:val="28"/>
          <w:szCs w:val="28"/>
        </w:rPr>
        <w:t>)</w:t>
      </w:r>
      <w:r w:rsidRPr="00EB06A9">
        <w:rPr>
          <w:rStyle w:val="s2"/>
          <w:color w:val="000000" w:themeColor="text1"/>
          <w:sz w:val="28"/>
          <w:szCs w:val="28"/>
        </w:rPr>
        <w:t>.</w:t>
      </w:r>
    </w:p>
    <w:p w:rsidR="009F79C8" w:rsidRPr="005E7070" w:rsidRDefault="009F79C8" w:rsidP="005146FA">
      <w:pPr>
        <w:pStyle w:val="p1"/>
        <w:spacing w:before="0" w:beforeAutospacing="0" w:after="0" w:afterAutospacing="0" w:line="360" w:lineRule="auto"/>
        <w:ind w:firstLine="426"/>
        <w:jc w:val="both"/>
        <w:rPr>
          <w:color w:val="000000" w:themeColor="text1"/>
          <w:sz w:val="28"/>
          <w:szCs w:val="28"/>
        </w:rPr>
      </w:pPr>
      <w:r w:rsidRPr="005E7070">
        <w:rPr>
          <w:rStyle w:val="s2"/>
          <w:color w:val="000000" w:themeColor="text1"/>
          <w:sz w:val="28"/>
          <w:szCs w:val="28"/>
        </w:rPr>
        <w:t>В экспериментальной группе после лечения распределение по степеням ЭД, согласно опроснику МИЭФ-5: отсутствие признаков – 14 (45,2%) пациентов, лёгкая степень – 12 (38,7%) пациентов, умеренная степень – 5 (16,1%) пациентов</w:t>
      </w:r>
      <w:r>
        <w:rPr>
          <w:rStyle w:val="s2"/>
          <w:color w:val="000000" w:themeColor="text1"/>
          <w:sz w:val="28"/>
          <w:szCs w:val="28"/>
        </w:rPr>
        <w:t xml:space="preserve"> </w:t>
      </w:r>
      <w:r w:rsidRPr="003A2BD3">
        <w:rPr>
          <w:rStyle w:val="s2"/>
          <w:color w:val="000000" w:themeColor="text1"/>
          <w:sz w:val="28"/>
          <w:szCs w:val="28"/>
        </w:rPr>
        <w:t>(</w:t>
      </w:r>
      <w:r>
        <w:rPr>
          <w:rStyle w:val="s2"/>
          <w:color w:val="000000" w:themeColor="text1"/>
          <w:sz w:val="28"/>
          <w:szCs w:val="28"/>
        </w:rPr>
        <w:t>Таблица 1</w:t>
      </w:r>
      <w:r w:rsidRPr="003A2BD3">
        <w:rPr>
          <w:rStyle w:val="s2"/>
          <w:color w:val="000000" w:themeColor="text1"/>
          <w:sz w:val="28"/>
          <w:szCs w:val="28"/>
        </w:rPr>
        <w:t>)</w:t>
      </w:r>
      <w:r w:rsidRPr="00EB06A9">
        <w:rPr>
          <w:rStyle w:val="s2"/>
          <w:color w:val="000000" w:themeColor="text1"/>
          <w:sz w:val="28"/>
          <w:szCs w:val="28"/>
        </w:rPr>
        <w:t>.</w:t>
      </w:r>
    </w:p>
    <w:p w:rsidR="009F79C8" w:rsidRPr="005E7070" w:rsidRDefault="009F79C8" w:rsidP="005146FA">
      <w:pPr>
        <w:pStyle w:val="p1"/>
        <w:spacing w:before="0" w:beforeAutospacing="0" w:after="0" w:afterAutospacing="0" w:line="360" w:lineRule="auto"/>
        <w:ind w:firstLine="426"/>
        <w:jc w:val="both"/>
        <w:rPr>
          <w:color w:val="000000" w:themeColor="text1"/>
          <w:sz w:val="28"/>
          <w:szCs w:val="28"/>
        </w:rPr>
      </w:pPr>
      <w:r w:rsidRPr="005E7070">
        <w:rPr>
          <w:rStyle w:val="s2"/>
          <w:color w:val="000000" w:themeColor="text1"/>
          <w:sz w:val="28"/>
          <w:szCs w:val="28"/>
        </w:rPr>
        <w:t xml:space="preserve">В группе контроля распределение по степеням следующее: отсутствие признаков – 1 (3,3%) пациент, лёгкая степень – 14 (46,7%) пациентов, умеренная степень – 9 (30%) пациентов, выраженная степень – 6 (20%) пациентов (Таблица </w:t>
      </w:r>
      <w:r>
        <w:rPr>
          <w:rStyle w:val="s2"/>
          <w:color w:val="000000" w:themeColor="text1"/>
          <w:sz w:val="28"/>
          <w:szCs w:val="28"/>
        </w:rPr>
        <w:t>1</w:t>
      </w:r>
      <w:r w:rsidRPr="005E7070">
        <w:rPr>
          <w:rStyle w:val="s2"/>
          <w:color w:val="000000" w:themeColor="text1"/>
          <w:sz w:val="28"/>
          <w:szCs w:val="28"/>
        </w:rPr>
        <w:t>).</w:t>
      </w:r>
      <w:r>
        <w:rPr>
          <w:rStyle w:val="s2"/>
          <w:color w:val="000000" w:themeColor="text1"/>
          <w:sz w:val="28"/>
          <w:szCs w:val="28"/>
        </w:rPr>
        <w:t xml:space="preserve"> </w:t>
      </w:r>
      <w:r w:rsidRPr="003A2BD3">
        <w:rPr>
          <w:rStyle w:val="s2"/>
          <w:color w:val="000000" w:themeColor="text1"/>
          <w:sz w:val="28"/>
          <w:szCs w:val="28"/>
        </w:rPr>
        <w:t>(</w:t>
      </w:r>
      <w:r>
        <w:rPr>
          <w:rStyle w:val="s2"/>
          <w:color w:val="000000" w:themeColor="text1"/>
          <w:sz w:val="28"/>
          <w:szCs w:val="28"/>
        </w:rPr>
        <w:t>Таблица 1</w:t>
      </w:r>
      <w:r w:rsidRPr="003A2BD3">
        <w:rPr>
          <w:rStyle w:val="s2"/>
          <w:color w:val="000000" w:themeColor="text1"/>
          <w:sz w:val="28"/>
          <w:szCs w:val="28"/>
        </w:rPr>
        <w:t>)</w:t>
      </w:r>
      <w:r w:rsidRPr="00EB06A9">
        <w:rPr>
          <w:rStyle w:val="s2"/>
          <w:color w:val="000000" w:themeColor="text1"/>
          <w:sz w:val="28"/>
          <w:szCs w:val="28"/>
        </w:rPr>
        <w:t>.</w:t>
      </w:r>
    </w:p>
    <w:p w:rsidR="009F79C8" w:rsidRPr="009F79C8" w:rsidRDefault="009F79C8" w:rsidP="005146FA">
      <w:pPr>
        <w:pStyle w:val="p1"/>
        <w:spacing w:before="0" w:beforeAutospacing="0" w:after="0" w:afterAutospacing="0" w:line="360" w:lineRule="auto"/>
        <w:ind w:firstLine="426"/>
        <w:jc w:val="both"/>
        <w:rPr>
          <w:rStyle w:val="s2"/>
        </w:rPr>
      </w:pPr>
      <w:r w:rsidRPr="009F79C8">
        <w:rPr>
          <w:rStyle w:val="s2"/>
          <w:color w:val="000000" w:themeColor="text1"/>
          <w:sz w:val="28"/>
          <w:szCs w:val="28"/>
        </w:rPr>
        <w:t>После лечения между экспериментальной группой и контрольной отмечено статистически значимое различие по опроснику МИЭФ-5</w:t>
      </w:r>
      <w:r w:rsidRPr="009F79C8">
        <w:rPr>
          <w:rStyle w:val="s2"/>
        </w:rPr>
        <w:t xml:space="preserve"> </w:t>
      </w:r>
      <w:r w:rsidRPr="009F79C8">
        <w:rPr>
          <w:rStyle w:val="s2"/>
          <w:color w:val="000000" w:themeColor="text1"/>
          <w:sz w:val="28"/>
          <w:szCs w:val="28"/>
        </w:rPr>
        <w:t>(</w:t>
      </w:r>
      <w:r w:rsidRPr="009F79C8">
        <w:rPr>
          <w:rStyle w:val="s2"/>
          <w:color w:val="000000" w:themeColor="text1"/>
        </w:rPr>
        <w:t xml:space="preserve">20 (17 – 21) </w:t>
      </w:r>
      <w:r w:rsidRPr="009F79C8">
        <w:rPr>
          <w:rStyle w:val="s2"/>
          <w:color w:val="000000" w:themeColor="text1"/>
          <w:sz w:val="28"/>
          <w:szCs w:val="28"/>
        </w:rPr>
        <w:t xml:space="preserve">против </w:t>
      </w:r>
      <w:r w:rsidRPr="009F79C8">
        <w:rPr>
          <w:rStyle w:val="s2"/>
          <w:color w:val="000000" w:themeColor="text1"/>
        </w:rPr>
        <w:t>16,5 (10,3 – 19)</w:t>
      </w:r>
      <w:r w:rsidRPr="009F79C8">
        <w:rPr>
          <w:rStyle w:val="s2"/>
          <w:color w:val="000000" w:themeColor="text1"/>
          <w:sz w:val="28"/>
          <w:szCs w:val="28"/>
        </w:rPr>
        <w:t>, p=0,017 соответственно) (Таблица 2).</w:t>
      </w:r>
    </w:p>
    <w:p w:rsidR="009F79C8" w:rsidRDefault="009F79C8" w:rsidP="005146FA">
      <w:pPr>
        <w:pStyle w:val="p1"/>
        <w:tabs>
          <w:tab w:val="left" w:pos="426"/>
        </w:tabs>
        <w:spacing w:before="0" w:beforeAutospacing="0" w:after="0" w:afterAutospacing="0" w:line="360" w:lineRule="auto"/>
        <w:ind w:firstLine="426"/>
        <w:jc w:val="both"/>
        <w:rPr>
          <w:rStyle w:val="s2"/>
          <w:color w:val="000000" w:themeColor="text1"/>
          <w:sz w:val="28"/>
          <w:szCs w:val="28"/>
        </w:rPr>
      </w:pPr>
      <w:r w:rsidRPr="009F79C8">
        <w:rPr>
          <w:rStyle w:val="s2"/>
          <w:color w:val="000000" w:themeColor="text1"/>
          <w:sz w:val="28"/>
          <w:szCs w:val="28"/>
        </w:rPr>
        <w:t xml:space="preserve">Статистически значимые различия также отмечены при анализе опросника SEP: увеличение среднего балла до </w:t>
      </w:r>
      <w:r w:rsidRPr="009F79C8">
        <w:rPr>
          <w:rStyle w:val="s2"/>
          <w:color w:val="000000" w:themeColor="text1"/>
        </w:rPr>
        <w:t>4 (3 – 4)</w:t>
      </w:r>
      <w:r w:rsidRPr="009F79C8">
        <w:rPr>
          <w:rStyle w:val="s2"/>
          <w:color w:val="000000" w:themeColor="text1"/>
          <w:sz w:val="28"/>
          <w:szCs w:val="28"/>
        </w:rPr>
        <w:t xml:space="preserve"> в группе лечения и </w:t>
      </w:r>
      <w:r w:rsidRPr="009F79C8">
        <w:rPr>
          <w:rStyle w:val="s2"/>
          <w:color w:val="000000" w:themeColor="text1"/>
        </w:rPr>
        <w:t xml:space="preserve">2 (2 – 3) </w:t>
      </w:r>
      <w:r w:rsidRPr="009F79C8">
        <w:rPr>
          <w:rStyle w:val="s2"/>
          <w:color w:val="000000" w:themeColor="text1"/>
          <w:sz w:val="28"/>
          <w:szCs w:val="28"/>
        </w:rPr>
        <w:t>в контрольной группе (p=0,004) (Таблица 2).</w:t>
      </w:r>
    </w:p>
    <w:p w:rsidR="009F79C8" w:rsidRDefault="009F79C8" w:rsidP="005146FA">
      <w:pPr>
        <w:pStyle w:val="p1"/>
        <w:spacing w:before="0" w:beforeAutospacing="0" w:after="0" w:afterAutospacing="0" w:line="360" w:lineRule="auto"/>
        <w:ind w:firstLine="426"/>
        <w:jc w:val="both"/>
        <w:rPr>
          <w:rStyle w:val="s2"/>
          <w:color w:val="000000" w:themeColor="text1"/>
          <w:sz w:val="28"/>
          <w:szCs w:val="28"/>
        </w:rPr>
      </w:pPr>
      <w:r w:rsidRPr="00CF5923">
        <w:rPr>
          <w:rStyle w:val="s2"/>
          <w:color w:val="000000" w:themeColor="text1"/>
          <w:sz w:val="28"/>
          <w:szCs w:val="28"/>
        </w:rPr>
        <w:t>Таблица 2. Показатели до и после проведенного лечения радиоволновой электротерапией.</w:t>
      </w:r>
    </w:p>
    <w:p w:rsidR="008F721A" w:rsidRPr="00CF5923" w:rsidRDefault="008F721A" w:rsidP="005146FA">
      <w:pPr>
        <w:pStyle w:val="p1"/>
        <w:spacing w:before="0" w:beforeAutospacing="0" w:after="0" w:afterAutospacing="0" w:line="360" w:lineRule="auto"/>
        <w:ind w:firstLine="426"/>
        <w:jc w:val="both"/>
        <w:rPr>
          <w:rStyle w:val="s2"/>
          <w:color w:val="000000" w:themeColor="text1"/>
          <w:sz w:val="28"/>
          <w:szCs w:val="28"/>
        </w:rPr>
      </w:pPr>
    </w:p>
    <w:tbl>
      <w:tblPr>
        <w:tblStyle w:val="a3"/>
        <w:tblW w:w="10533" w:type="dxa"/>
        <w:tblInd w:w="-725" w:type="dxa"/>
        <w:tblLayout w:type="fixed"/>
        <w:tblLook w:val="04A0" w:firstRow="1" w:lastRow="0" w:firstColumn="1" w:lastColumn="0" w:noHBand="0" w:noVBand="1"/>
      </w:tblPr>
      <w:tblGrid>
        <w:gridCol w:w="1865"/>
        <w:gridCol w:w="869"/>
        <w:gridCol w:w="1993"/>
        <w:gridCol w:w="1350"/>
        <w:gridCol w:w="2025"/>
        <w:gridCol w:w="1216"/>
        <w:gridCol w:w="1215"/>
      </w:tblGrid>
      <w:tr w:rsidR="009F79C8" w:rsidRPr="00CF5923" w:rsidTr="009F79C8">
        <w:trPr>
          <w:trHeight w:val="304"/>
        </w:trPr>
        <w:tc>
          <w:tcPr>
            <w:tcW w:w="2734" w:type="dxa"/>
            <w:gridSpan w:val="2"/>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b/>
                <w:sz w:val="28"/>
                <w:szCs w:val="28"/>
              </w:rPr>
              <w:lastRenderedPageBreak/>
              <w:t>Показатели</w:t>
            </w:r>
          </w:p>
        </w:tc>
        <w:tc>
          <w:tcPr>
            <w:tcW w:w="3343" w:type="dxa"/>
            <w:gridSpan w:val="2"/>
            <w:vAlign w:val="center"/>
          </w:tcPr>
          <w:p w:rsidR="009F79C8" w:rsidRPr="00CF5923" w:rsidRDefault="009F79C8" w:rsidP="005146FA">
            <w:pPr>
              <w:pStyle w:val="a6"/>
              <w:spacing w:before="240" w:beforeAutospacing="0"/>
              <w:ind w:right="113"/>
              <w:contextualSpacing/>
              <w:jc w:val="both"/>
              <w:rPr>
                <w:b/>
                <w:sz w:val="28"/>
                <w:szCs w:val="28"/>
              </w:rPr>
            </w:pPr>
            <w:r w:rsidRPr="00CF5923">
              <w:rPr>
                <w:b/>
                <w:sz w:val="28"/>
                <w:szCs w:val="28"/>
              </w:rPr>
              <w:t>Экспериментальная группа</w:t>
            </w:r>
          </w:p>
          <w:p w:rsidR="009F79C8" w:rsidRPr="00CF5923" w:rsidRDefault="009F79C8" w:rsidP="005146FA">
            <w:pPr>
              <w:pStyle w:val="a6"/>
              <w:spacing w:before="240" w:beforeAutospacing="0"/>
              <w:ind w:right="113"/>
              <w:contextualSpacing/>
              <w:jc w:val="both"/>
              <w:rPr>
                <w:b/>
                <w:sz w:val="28"/>
                <w:szCs w:val="28"/>
                <w:lang w:val="en-US"/>
              </w:rPr>
            </w:pPr>
            <w:r w:rsidRPr="00CF5923">
              <w:rPr>
                <w:b/>
                <w:sz w:val="28"/>
                <w:szCs w:val="28"/>
              </w:rPr>
              <w:t>(</w:t>
            </w:r>
            <w:r w:rsidRPr="00CF5923">
              <w:rPr>
                <w:b/>
                <w:sz w:val="28"/>
                <w:szCs w:val="28"/>
                <w:lang w:val="en-US"/>
              </w:rPr>
              <w:t>n=31</w:t>
            </w:r>
            <w:r w:rsidRPr="00CF5923">
              <w:rPr>
                <w:b/>
                <w:sz w:val="28"/>
                <w:szCs w:val="28"/>
              </w:rPr>
              <w:t>)</w:t>
            </w:r>
          </w:p>
        </w:tc>
        <w:tc>
          <w:tcPr>
            <w:tcW w:w="3241" w:type="dxa"/>
            <w:gridSpan w:val="2"/>
            <w:vAlign w:val="bottom"/>
          </w:tcPr>
          <w:p w:rsidR="009F79C8" w:rsidRPr="00CF5923" w:rsidRDefault="009F79C8" w:rsidP="005146FA">
            <w:pPr>
              <w:pStyle w:val="a6"/>
              <w:spacing w:before="240" w:beforeAutospacing="0"/>
              <w:ind w:right="113"/>
              <w:contextualSpacing/>
              <w:jc w:val="both"/>
              <w:rPr>
                <w:b/>
                <w:sz w:val="28"/>
                <w:szCs w:val="28"/>
              </w:rPr>
            </w:pPr>
            <w:r w:rsidRPr="00CF5923">
              <w:rPr>
                <w:b/>
                <w:sz w:val="28"/>
                <w:szCs w:val="28"/>
              </w:rPr>
              <w:t>Контрольная группа</w:t>
            </w:r>
          </w:p>
          <w:p w:rsidR="009F79C8" w:rsidRPr="00CF5923" w:rsidRDefault="009F79C8" w:rsidP="005146FA">
            <w:pPr>
              <w:pStyle w:val="a6"/>
              <w:spacing w:before="240" w:beforeAutospacing="0"/>
              <w:ind w:right="113"/>
              <w:contextualSpacing/>
              <w:jc w:val="both"/>
              <w:rPr>
                <w:b/>
                <w:sz w:val="28"/>
                <w:szCs w:val="28"/>
              </w:rPr>
            </w:pPr>
            <w:r w:rsidRPr="00CF5923">
              <w:rPr>
                <w:b/>
                <w:sz w:val="28"/>
                <w:szCs w:val="28"/>
                <w:lang w:val="en-US"/>
              </w:rPr>
              <w:t>(n=</w:t>
            </w:r>
            <w:r w:rsidRPr="00CF5923">
              <w:rPr>
                <w:b/>
                <w:sz w:val="28"/>
                <w:szCs w:val="28"/>
              </w:rPr>
              <w:t>30</w:t>
            </w:r>
            <w:r w:rsidRPr="00CF5923">
              <w:rPr>
                <w:b/>
                <w:sz w:val="28"/>
                <w:szCs w:val="28"/>
                <w:lang w:val="en-US"/>
              </w:rPr>
              <w:t>)</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r w:rsidRPr="00CF5923">
              <w:rPr>
                <w:rFonts w:ascii="Times New Roman" w:hAnsi="Times New Roman" w:cs="Times New Roman"/>
                <w:b/>
                <w:bCs/>
                <w:sz w:val="28"/>
                <w:szCs w:val="28"/>
                <w:lang w:val="en-US"/>
              </w:rPr>
              <w:t>p</w:t>
            </w:r>
          </w:p>
        </w:tc>
      </w:tr>
      <w:tr w:rsidR="009F79C8" w:rsidRPr="00CF5923" w:rsidTr="009F79C8">
        <w:trPr>
          <w:trHeight w:val="261"/>
        </w:trPr>
        <w:tc>
          <w:tcPr>
            <w:tcW w:w="2734" w:type="dxa"/>
            <w:gridSpan w:val="2"/>
            <w:vMerge/>
          </w:tcPr>
          <w:p w:rsidR="009F79C8" w:rsidRPr="00CF5923" w:rsidRDefault="009F79C8" w:rsidP="005146FA">
            <w:pPr>
              <w:spacing w:line="276" w:lineRule="auto"/>
              <w:ind w:right="114"/>
              <w:jc w:val="both"/>
              <w:rPr>
                <w:rFonts w:ascii="Times New Roman" w:hAnsi="Times New Roman" w:cs="Times New Roman"/>
                <w:b/>
                <w:sz w:val="28"/>
                <w:szCs w:val="28"/>
              </w:rPr>
            </w:pPr>
          </w:p>
        </w:tc>
        <w:tc>
          <w:tcPr>
            <w:tcW w:w="1993" w:type="dxa"/>
            <w:vAlign w:val="center"/>
          </w:tcPr>
          <w:p w:rsidR="009F79C8" w:rsidRPr="00CF5923" w:rsidRDefault="009F79C8" w:rsidP="005146FA">
            <w:pPr>
              <w:pStyle w:val="a6"/>
              <w:spacing w:before="240" w:beforeAutospacing="0"/>
              <w:ind w:right="113"/>
              <w:contextualSpacing/>
              <w:jc w:val="both"/>
              <w:rPr>
                <w:b/>
                <w:sz w:val="28"/>
                <w:szCs w:val="28"/>
              </w:rPr>
            </w:pPr>
            <w:r w:rsidRPr="00CF5923">
              <w:rPr>
                <w:b/>
                <w:sz w:val="28"/>
                <w:szCs w:val="28"/>
              </w:rPr>
              <w:t>Показатель</w:t>
            </w:r>
          </w:p>
        </w:tc>
        <w:tc>
          <w:tcPr>
            <w:tcW w:w="1350" w:type="dxa"/>
            <w:vAlign w:val="center"/>
          </w:tcPr>
          <w:p w:rsidR="009F79C8" w:rsidRPr="00CF5923" w:rsidRDefault="009F79C8" w:rsidP="005146FA">
            <w:pPr>
              <w:pStyle w:val="a6"/>
              <w:spacing w:before="240" w:beforeAutospacing="0"/>
              <w:ind w:right="113"/>
              <w:contextualSpacing/>
              <w:jc w:val="both"/>
              <w:rPr>
                <w:b/>
                <w:sz w:val="28"/>
                <w:szCs w:val="28"/>
                <w:lang w:val="en-US"/>
              </w:rPr>
            </w:pPr>
            <w:r w:rsidRPr="00CF5923">
              <w:rPr>
                <w:b/>
                <w:sz w:val="28"/>
                <w:szCs w:val="28"/>
                <w:lang w:val="en-US"/>
              </w:rPr>
              <w:t>p</w:t>
            </w:r>
          </w:p>
        </w:tc>
        <w:tc>
          <w:tcPr>
            <w:tcW w:w="2025" w:type="dxa"/>
            <w:vAlign w:val="center"/>
          </w:tcPr>
          <w:p w:rsidR="009F79C8" w:rsidRPr="00CF5923" w:rsidRDefault="009F79C8" w:rsidP="005146FA">
            <w:pPr>
              <w:pStyle w:val="a6"/>
              <w:spacing w:before="240" w:beforeAutospacing="0"/>
              <w:ind w:right="113"/>
              <w:contextualSpacing/>
              <w:jc w:val="both"/>
              <w:rPr>
                <w:b/>
                <w:sz w:val="28"/>
                <w:szCs w:val="28"/>
              </w:rPr>
            </w:pPr>
            <w:r w:rsidRPr="00CF5923">
              <w:rPr>
                <w:b/>
                <w:sz w:val="28"/>
                <w:szCs w:val="28"/>
              </w:rPr>
              <w:t>Показатель</w:t>
            </w:r>
          </w:p>
        </w:tc>
        <w:tc>
          <w:tcPr>
            <w:tcW w:w="1215" w:type="dxa"/>
            <w:vAlign w:val="center"/>
          </w:tcPr>
          <w:p w:rsidR="009F79C8" w:rsidRPr="00CF5923" w:rsidRDefault="009F79C8" w:rsidP="005146FA">
            <w:pPr>
              <w:pStyle w:val="a6"/>
              <w:spacing w:before="240" w:beforeAutospacing="0"/>
              <w:ind w:right="113"/>
              <w:contextualSpacing/>
              <w:jc w:val="both"/>
              <w:rPr>
                <w:b/>
                <w:sz w:val="28"/>
                <w:szCs w:val="28"/>
              </w:rPr>
            </w:pPr>
            <w:r w:rsidRPr="00CF5923">
              <w:rPr>
                <w:b/>
                <w:sz w:val="28"/>
                <w:szCs w:val="28"/>
              </w:rPr>
              <w:t>р</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МИЭФ-5</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13 (10,3 – 15)</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&lt;0,001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color w:val="000000" w:themeColor="text1"/>
                <w:sz w:val="28"/>
                <w:szCs w:val="28"/>
              </w:rPr>
              <w:t>16,5 (10 – 18)</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0,987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color w:val="000000" w:themeColor="text1"/>
                <w:sz w:val="28"/>
                <w:szCs w:val="28"/>
              </w:rPr>
              <w:t>0,675</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20 (17 – 21)</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16,5 (10,3 – 19)</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b/>
                <w:bCs/>
                <w:sz w:val="28"/>
                <w:szCs w:val="28"/>
                <w:lang w:val="en-US"/>
              </w:rPr>
              <w:t>0,</w:t>
            </w:r>
            <w:r w:rsidRPr="00CF5923">
              <w:rPr>
                <w:rFonts w:ascii="Times New Roman" w:hAnsi="Times New Roman" w:cs="Times New Roman"/>
                <w:b/>
                <w:bCs/>
                <w:sz w:val="28"/>
                <w:szCs w:val="28"/>
              </w:rPr>
              <w:t>01</w:t>
            </w:r>
            <w:r w:rsidRPr="00CF5923">
              <w:rPr>
                <w:rFonts w:ascii="Times New Roman" w:hAnsi="Times New Roman" w:cs="Times New Roman"/>
                <w:b/>
                <w:bCs/>
                <w:sz w:val="28"/>
                <w:szCs w:val="28"/>
                <w:lang w:val="en-US"/>
              </w:rPr>
              <w:t>7*</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lang w:val="en-US"/>
              </w:rPr>
              <w:t>SEP</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2 (2 – 2)</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&lt;0,001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2 (2 – 3)</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0,997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sz w:val="28"/>
                <w:szCs w:val="28"/>
              </w:rPr>
              <w:t>0,128</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4 (3 – 4)</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2 (2 – 3)</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b/>
                <w:bCs/>
                <w:sz w:val="28"/>
                <w:szCs w:val="28"/>
                <w:lang w:val="en-US"/>
              </w:rPr>
              <w:t>0,</w:t>
            </w:r>
            <w:r w:rsidRPr="00CF5923">
              <w:rPr>
                <w:rFonts w:ascii="Times New Roman" w:hAnsi="Times New Roman" w:cs="Times New Roman"/>
                <w:b/>
                <w:bCs/>
                <w:sz w:val="28"/>
                <w:szCs w:val="28"/>
              </w:rPr>
              <w:t>0</w:t>
            </w:r>
            <w:r w:rsidRPr="00CF5923">
              <w:rPr>
                <w:rFonts w:ascii="Times New Roman" w:hAnsi="Times New Roman" w:cs="Times New Roman"/>
                <w:b/>
                <w:bCs/>
                <w:sz w:val="28"/>
                <w:szCs w:val="28"/>
                <w:lang w:val="en-US"/>
              </w:rPr>
              <w:t>04*</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proofErr w:type="spellStart"/>
            <w:r w:rsidRPr="00CF5923">
              <w:rPr>
                <w:rFonts w:ascii="Times New Roman" w:hAnsi="Times New Roman" w:cs="Times New Roman"/>
                <w:sz w:val="28"/>
                <w:szCs w:val="28"/>
                <w:lang w:val="en-US"/>
              </w:rPr>
              <w:t>Schramek</w:t>
            </w:r>
            <w:proofErr w:type="spellEnd"/>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3 (2 – 3)</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&lt;0,001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3 (2 – 4)</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0,297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sz w:val="28"/>
                <w:szCs w:val="28"/>
              </w:rPr>
              <w:t>0,679</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4 (4 – 5)</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3 (3 – 4)</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b/>
                <w:bCs/>
                <w:sz w:val="28"/>
                <w:szCs w:val="28"/>
                <w:lang w:val="en-US"/>
              </w:rPr>
              <w:t>0,011*</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Время ответа на препарат, мин</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65 (60 – 120)</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lang w:val="en-US"/>
              </w:rPr>
            </w:pPr>
            <w:r w:rsidRPr="00CF5923">
              <w:rPr>
                <w:rStyle w:val="s2"/>
                <w:rFonts w:ascii="Times New Roman" w:hAnsi="Times New Roman" w:cs="Times New Roman"/>
                <w:b/>
                <w:bCs/>
                <w:color w:val="000000" w:themeColor="text1"/>
                <w:sz w:val="28"/>
                <w:szCs w:val="28"/>
              </w:rPr>
              <w:t>&lt;0,001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60 (60 – 63,75)</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Style w:val="s2"/>
                <w:rFonts w:ascii="Times New Roman" w:hAnsi="Times New Roman" w:cs="Times New Roman"/>
                <w:color w:val="000000" w:themeColor="text1"/>
                <w:sz w:val="28"/>
                <w:szCs w:val="28"/>
              </w:rPr>
              <w:t>0,710</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r w:rsidRPr="00CF5923">
              <w:rPr>
                <w:rFonts w:ascii="Times New Roman" w:hAnsi="Times New Roman" w:cs="Times New Roman"/>
                <w:sz w:val="28"/>
                <w:szCs w:val="28"/>
              </w:rPr>
              <w:t>0,433</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10 (10 - 15)</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15 (15 – 15)</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r w:rsidRPr="00CF5923">
              <w:rPr>
                <w:rFonts w:ascii="Times New Roman" w:hAnsi="Times New Roman" w:cs="Times New Roman"/>
                <w:b/>
                <w:bCs/>
                <w:sz w:val="28"/>
                <w:szCs w:val="28"/>
              </w:rPr>
              <w:t>0,001</w:t>
            </w:r>
            <w:r w:rsidRPr="00CF5923">
              <w:rPr>
                <w:rFonts w:ascii="Times New Roman" w:hAnsi="Times New Roman" w:cs="Times New Roman"/>
                <w:b/>
                <w:bCs/>
                <w:sz w:val="28"/>
                <w:szCs w:val="28"/>
                <w:lang w:val="en-US"/>
              </w:rPr>
              <w:t>*</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 xml:space="preserve">Время </w:t>
            </w:r>
            <w:proofErr w:type="spellStart"/>
            <w:r w:rsidRPr="00CF5923">
              <w:rPr>
                <w:rFonts w:ascii="Times New Roman" w:hAnsi="Times New Roman" w:cs="Times New Roman"/>
                <w:color w:val="000000" w:themeColor="text1"/>
                <w:sz w:val="28"/>
                <w:szCs w:val="28"/>
              </w:rPr>
              <w:t>детумесценции</w:t>
            </w:r>
            <w:proofErr w:type="spellEnd"/>
            <w:r w:rsidRPr="00CF5923">
              <w:rPr>
                <w:rFonts w:ascii="Times New Roman" w:hAnsi="Times New Roman" w:cs="Times New Roman"/>
                <w:color w:val="000000" w:themeColor="text1"/>
                <w:sz w:val="28"/>
                <w:szCs w:val="28"/>
              </w:rPr>
              <w:t>, мин</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65 (60 – 120)</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р=0,009</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color w:val="000000" w:themeColor="text1"/>
                <w:sz w:val="28"/>
                <w:szCs w:val="28"/>
              </w:rPr>
              <w:t>60 (60 – 63,75)</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Style w:val="s2"/>
                <w:rFonts w:ascii="Times New Roman" w:hAnsi="Times New Roman" w:cs="Times New Roman"/>
                <w:color w:val="000000" w:themeColor="text1"/>
                <w:sz w:val="28"/>
                <w:szCs w:val="28"/>
              </w:rPr>
              <w:t>0,417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sz w:val="28"/>
                <w:szCs w:val="28"/>
              </w:rPr>
              <w:t>0,433</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120 (68,8 – 160)</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60 (45 – 60)</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b/>
                <w:bCs/>
                <w:sz w:val="28"/>
                <w:szCs w:val="28"/>
                <w:lang w:val="en-US"/>
              </w:rPr>
              <w:t>&lt;0,001*</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ПСС в правой КА, см/сек</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45,3 ± 18,6</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0,079</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47,4 ± 15,3</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0,987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0,451</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51,3 ± 13,3</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50,4 ± 17,6</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0,967</w:t>
            </w:r>
          </w:p>
        </w:tc>
      </w:tr>
      <w:tr w:rsidR="009F79C8" w:rsidRPr="00CF5923" w:rsidTr="009F79C8">
        <w:trPr>
          <w:trHeight w:val="282"/>
        </w:trPr>
        <w:tc>
          <w:tcPr>
            <w:tcW w:w="1865" w:type="dxa"/>
            <w:vMerge w:val="restart"/>
            <w:vAlign w:val="center"/>
          </w:tcPr>
          <w:p w:rsidR="009F79C8" w:rsidRPr="00CF5923" w:rsidRDefault="009F79C8" w:rsidP="005146FA">
            <w:pPr>
              <w:pStyle w:val="a6"/>
              <w:spacing w:before="240" w:beforeAutospacing="0"/>
              <w:ind w:right="113"/>
              <w:contextualSpacing/>
              <w:jc w:val="both"/>
              <w:rPr>
                <w:sz w:val="28"/>
                <w:szCs w:val="28"/>
              </w:rPr>
            </w:pPr>
            <w:r w:rsidRPr="00CF5923">
              <w:rPr>
                <w:sz w:val="28"/>
                <w:szCs w:val="28"/>
              </w:rPr>
              <w:t>ПСС в левой КА, см/сек</w:t>
            </w:r>
          </w:p>
        </w:tc>
        <w:tc>
          <w:tcPr>
            <w:tcW w:w="868" w:type="dxa"/>
            <w:vAlign w:val="bottom"/>
          </w:tcPr>
          <w:p w:rsidR="009F79C8" w:rsidRPr="00CF5923" w:rsidRDefault="009F79C8" w:rsidP="005146FA">
            <w:pPr>
              <w:pStyle w:val="a6"/>
              <w:spacing w:before="240" w:beforeAutospacing="0"/>
              <w:ind w:right="113"/>
              <w:contextualSpacing/>
              <w:jc w:val="both"/>
              <w:rPr>
                <w:color w:val="000000" w:themeColor="text1"/>
                <w:sz w:val="28"/>
                <w:szCs w:val="28"/>
              </w:rPr>
            </w:pPr>
            <w:r w:rsidRPr="00CF5923">
              <w:rPr>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42,7 ± 18,1</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0,040</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51,1 ± 18,1</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0,879</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0,536</w:t>
            </w:r>
          </w:p>
        </w:tc>
      </w:tr>
      <w:tr w:rsidR="009F79C8" w:rsidRPr="00CF5923" w:rsidTr="009F79C8">
        <w:trPr>
          <w:trHeight w:val="282"/>
        </w:trPr>
        <w:tc>
          <w:tcPr>
            <w:tcW w:w="1865" w:type="dxa"/>
            <w:vMerge/>
            <w:vAlign w:val="center"/>
          </w:tcPr>
          <w:p w:rsidR="009F79C8" w:rsidRPr="00CF5923" w:rsidRDefault="009F79C8" w:rsidP="005146FA">
            <w:pPr>
              <w:pStyle w:val="a6"/>
              <w:spacing w:before="240" w:beforeAutospacing="0"/>
              <w:ind w:right="113"/>
              <w:contextualSpacing/>
              <w:jc w:val="both"/>
              <w:rPr>
                <w:sz w:val="28"/>
                <w:szCs w:val="28"/>
              </w:rPr>
            </w:pPr>
          </w:p>
        </w:tc>
        <w:tc>
          <w:tcPr>
            <w:tcW w:w="868" w:type="dxa"/>
            <w:vAlign w:val="bottom"/>
          </w:tcPr>
          <w:p w:rsidR="009F79C8" w:rsidRPr="00CF5923" w:rsidRDefault="009F79C8" w:rsidP="005146FA">
            <w:pPr>
              <w:pStyle w:val="a6"/>
              <w:spacing w:before="240" w:beforeAutospacing="0"/>
              <w:ind w:right="113"/>
              <w:contextualSpacing/>
              <w:jc w:val="both"/>
              <w:rPr>
                <w:sz w:val="28"/>
                <w:szCs w:val="28"/>
              </w:rPr>
            </w:pPr>
            <w:r w:rsidRPr="00CF5923">
              <w:rPr>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51,4 ± 16,9</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53,4 ± 20,4</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lang w:val="en-US"/>
              </w:rPr>
              <w:t>0,9</w:t>
            </w:r>
            <w:r w:rsidRPr="00CF5923">
              <w:rPr>
                <w:rFonts w:ascii="Times New Roman" w:hAnsi="Times New Roman" w:cs="Times New Roman"/>
                <w:sz w:val="28"/>
                <w:szCs w:val="28"/>
              </w:rPr>
              <w:t>09</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КДС в правой КА, см/сек</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7,7 ± 3,8</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6,6 ± 3,5</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0,860</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rPr>
              <w:t>0,525</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4,7 ± 3,6</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5,5 ± 3,1</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lang w:val="en-US"/>
              </w:rPr>
            </w:pPr>
            <w:r w:rsidRPr="00CF5923">
              <w:rPr>
                <w:rFonts w:ascii="Times New Roman" w:hAnsi="Times New Roman" w:cs="Times New Roman"/>
                <w:sz w:val="28"/>
                <w:szCs w:val="28"/>
                <w:lang w:val="en-US"/>
              </w:rPr>
              <w:t>0,065</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КДС в левой КА, см/сек</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6,9 ± 3,8</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7,2 ± 4,1</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0,387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sz w:val="28"/>
                <w:szCs w:val="28"/>
              </w:rPr>
              <w:t>0,380</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4,3 ± 3,2</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5,9 ± 3,9</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r w:rsidRPr="00CF5923">
              <w:rPr>
                <w:rFonts w:ascii="Times New Roman" w:hAnsi="Times New Roman" w:cs="Times New Roman"/>
                <w:b/>
                <w:bCs/>
                <w:sz w:val="28"/>
                <w:szCs w:val="28"/>
              </w:rPr>
              <w:t>0,039</w:t>
            </w:r>
            <w:r w:rsidRPr="00CF5923">
              <w:rPr>
                <w:rFonts w:ascii="Times New Roman" w:hAnsi="Times New Roman" w:cs="Times New Roman"/>
                <w:b/>
                <w:bCs/>
                <w:sz w:val="28"/>
                <w:szCs w:val="28"/>
                <w:lang w:val="en-US"/>
              </w:rPr>
              <w:t>*</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 xml:space="preserve">ИР </w:t>
            </w:r>
            <w:r w:rsidRPr="00CF5923">
              <w:rPr>
                <w:rFonts w:ascii="Times New Roman" w:hAnsi="Times New Roman" w:cs="Times New Roman"/>
                <w:sz w:val="28"/>
                <w:szCs w:val="28"/>
              </w:rPr>
              <w:t>в правой КА</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0,82 ± 0,09</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0,85 ± 0,10</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0,557</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0,512</w:t>
            </w:r>
          </w:p>
        </w:tc>
      </w:tr>
      <w:tr w:rsidR="009F79C8" w:rsidRPr="00CF5923" w:rsidTr="009F79C8">
        <w:trPr>
          <w:trHeight w:val="282"/>
        </w:trPr>
        <w:tc>
          <w:tcPr>
            <w:tcW w:w="1865" w:type="dxa"/>
            <w:vMerge/>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0,89 ± 0,08</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0,86 ± 0,09</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0,439</w:t>
            </w:r>
          </w:p>
        </w:tc>
      </w:tr>
      <w:tr w:rsidR="009F79C8" w:rsidRPr="00CF5923" w:rsidTr="009F79C8">
        <w:trPr>
          <w:trHeight w:val="282"/>
        </w:trPr>
        <w:tc>
          <w:tcPr>
            <w:tcW w:w="1865" w:type="dxa"/>
            <w:vMerge w:val="restart"/>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 xml:space="preserve">ИР </w:t>
            </w:r>
            <w:r w:rsidRPr="00CF5923">
              <w:rPr>
                <w:rFonts w:ascii="Times New Roman" w:hAnsi="Times New Roman" w:cs="Times New Roman"/>
                <w:sz w:val="28"/>
                <w:szCs w:val="28"/>
              </w:rPr>
              <w:t>в левой КА</w:t>
            </w: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до</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0,90 ± 0,06</w:t>
            </w:r>
          </w:p>
        </w:tc>
        <w:tc>
          <w:tcPr>
            <w:tcW w:w="1350" w:type="dxa"/>
            <w:vMerge w:val="restart"/>
            <w:vAlign w:val="center"/>
          </w:tcPr>
          <w:p w:rsidR="009F79C8" w:rsidRPr="00CF5923" w:rsidRDefault="009F79C8" w:rsidP="005146FA">
            <w:pPr>
              <w:spacing w:line="276" w:lineRule="auto"/>
              <w:ind w:right="114"/>
              <w:jc w:val="both"/>
              <w:rPr>
                <w:rFonts w:ascii="Times New Roman" w:hAnsi="Times New Roman" w:cs="Times New Roman"/>
                <w:b/>
                <w:bCs/>
                <w:color w:val="000000" w:themeColor="text1"/>
                <w:sz w:val="28"/>
                <w:szCs w:val="28"/>
                <w:lang w:val="en-US"/>
              </w:rPr>
            </w:pPr>
            <w:r w:rsidRPr="00CF5923">
              <w:rPr>
                <w:rStyle w:val="s2"/>
                <w:rFonts w:ascii="Times New Roman" w:hAnsi="Times New Roman" w:cs="Times New Roman"/>
                <w:b/>
                <w:bCs/>
                <w:color w:val="000000" w:themeColor="text1"/>
                <w:sz w:val="28"/>
                <w:szCs w:val="28"/>
              </w:rPr>
              <w:t>0,001</w:t>
            </w:r>
            <w:r w:rsidRPr="00CF5923">
              <w:rPr>
                <w:rStyle w:val="s2"/>
                <w:rFonts w:ascii="Times New Roman" w:hAnsi="Times New Roman" w:cs="Times New Roman"/>
                <w:b/>
                <w:bCs/>
                <w:color w:val="000000" w:themeColor="text1"/>
                <w:sz w:val="28"/>
                <w:szCs w:val="28"/>
                <w:lang w:val="en-US"/>
              </w:rPr>
              <w:t>*</w:t>
            </w: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0,84 ± 0,09</w:t>
            </w:r>
          </w:p>
        </w:tc>
        <w:tc>
          <w:tcPr>
            <w:tcW w:w="1215" w:type="dxa"/>
            <w:vMerge w:val="restart"/>
            <w:vAlign w:val="center"/>
          </w:tcPr>
          <w:p w:rsidR="009F79C8" w:rsidRPr="00CF5923" w:rsidRDefault="009F79C8" w:rsidP="005146FA">
            <w:pPr>
              <w:spacing w:line="276" w:lineRule="auto"/>
              <w:ind w:right="114"/>
              <w:jc w:val="both"/>
              <w:rPr>
                <w:rFonts w:ascii="Times New Roman" w:hAnsi="Times New Roman" w:cs="Times New Roman"/>
                <w:sz w:val="28"/>
                <w:szCs w:val="28"/>
              </w:rPr>
            </w:pPr>
            <w:r w:rsidRPr="00CF5923">
              <w:rPr>
                <w:rFonts w:ascii="Times New Roman" w:hAnsi="Times New Roman" w:cs="Times New Roman"/>
                <w:sz w:val="28"/>
                <w:szCs w:val="28"/>
              </w:rPr>
              <w:t>0,621</w:t>
            </w: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lang w:val="en-US"/>
              </w:rPr>
            </w:pPr>
            <w:r w:rsidRPr="00CF5923">
              <w:rPr>
                <w:rFonts w:ascii="Times New Roman" w:hAnsi="Times New Roman" w:cs="Times New Roman"/>
                <w:b/>
                <w:bCs/>
                <w:sz w:val="28"/>
                <w:szCs w:val="28"/>
              </w:rPr>
              <w:t>0,008</w:t>
            </w:r>
            <w:r w:rsidRPr="00CF5923">
              <w:rPr>
                <w:rFonts w:ascii="Times New Roman" w:hAnsi="Times New Roman" w:cs="Times New Roman"/>
                <w:b/>
                <w:bCs/>
                <w:sz w:val="28"/>
                <w:szCs w:val="28"/>
                <w:lang w:val="en-US"/>
              </w:rPr>
              <w:t>*</w:t>
            </w:r>
          </w:p>
        </w:tc>
      </w:tr>
      <w:tr w:rsidR="009F79C8" w:rsidRPr="00CF5923" w:rsidTr="009F79C8">
        <w:trPr>
          <w:trHeight w:val="282"/>
        </w:trPr>
        <w:tc>
          <w:tcPr>
            <w:tcW w:w="1865" w:type="dxa"/>
            <w:vMerge/>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868" w:type="dxa"/>
            <w:vAlign w:val="bottom"/>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sz w:val="28"/>
                <w:szCs w:val="28"/>
              </w:rPr>
              <w:t>после</w:t>
            </w:r>
          </w:p>
        </w:tc>
        <w:tc>
          <w:tcPr>
            <w:tcW w:w="1993"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0,84 ± 0,09</w:t>
            </w:r>
          </w:p>
        </w:tc>
        <w:tc>
          <w:tcPr>
            <w:tcW w:w="1350" w:type="dxa"/>
            <w:vMerge/>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p>
        </w:tc>
        <w:tc>
          <w:tcPr>
            <w:tcW w:w="2025" w:type="dxa"/>
            <w:vAlign w:val="center"/>
          </w:tcPr>
          <w:p w:rsidR="009F79C8" w:rsidRPr="00CF5923" w:rsidRDefault="009F79C8" w:rsidP="005146FA">
            <w:pPr>
              <w:spacing w:line="276" w:lineRule="auto"/>
              <w:ind w:right="114"/>
              <w:jc w:val="both"/>
              <w:rPr>
                <w:rFonts w:ascii="Times New Roman" w:hAnsi="Times New Roman" w:cs="Times New Roman"/>
                <w:color w:val="000000" w:themeColor="text1"/>
                <w:sz w:val="28"/>
                <w:szCs w:val="28"/>
              </w:rPr>
            </w:pPr>
            <w:r w:rsidRPr="00CF5923">
              <w:rPr>
                <w:rFonts w:ascii="Times New Roman" w:hAnsi="Times New Roman" w:cs="Times New Roman"/>
                <w:color w:val="000000" w:themeColor="text1"/>
                <w:sz w:val="28"/>
                <w:szCs w:val="28"/>
              </w:rPr>
              <w:t>0,85 ± 0,10</w:t>
            </w:r>
          </w:p>
        </w:tc>
        <w:tc>
          <w:tcPr>
            <w:tcW w:w="1215" w:type="dxa"/>
            <w:vMerge/>
            <w:vAlign w:val="center"/>
          </w:tcPr>
          <w:p w:rsidR="009F79C8" w:rsidRPr="00CF5923" w:rsidRDefault="009F79C8" w:rsidP="005146FA">
            <w:pPr>
              <w:spacing w:line="276" w:lineRule="auto"/>
              <w:ind w:right="114"/>
              <w:jc w:val="both"/>
              <w:rPr>
                <w:rFonts w:ascii="Times New Roman" w:hAnsi="Times New Roman" w:cs="Times New Roman"/>
                <w:sz w:val="28"/>
                <w:szCs w:val="28"/>
              </w:rPr>
            </w:pPr>
          </w:p>
        </w:tc>
        <w:tc>
          <w:tcPr>
            <w:tcW w:w="1215" w:type="dxa"/>
            <w:vAlign w:val="center"/>
          </w:tcPr>
          <w:p w:rsidR="009F79C8" w:rsidRPr="00CF5923" w:rsidRDefault="009F79C8" w:rsidP="005146FA">
            <w:pPr>
              <w:spacing w:line="276" w:lineRule="auto"/>
              <w:ind w:right="114"/>
              <w:jc w:val="both"/>
              <w:rPr>
                <w:rFonts w:ascii="Times New Roman" w:hAnsi="Times New Roman" w:cs="Times New Roman"/>
                <w:b/>
                <w:bCs/>
                <w:sz w:val="28"/>
                <w:szCs w:val="28"/>
              </w:rPr>
            </w:pPr>
            <w:r w:rsidRPr="00CF5923">
              <w:rPr>
                <w:rFonts w:ascii="Times New Roman" w:hAnsi="Times New Roman" w:cs="Times New Roman"/>
                <w:sz w:val="28"/>
                <w:szCs w:val="28"/>
              </w:rPr>
              <w:t>0,638</w:t>
            </w:r>
          </w:p>
        </w:tc>
      </w:tr>
    </w:tbl>
    <w:p w:rsidR="009F79C8" w:rsidRPr="00CF5923" w:rsidRDefault="009F79C8" w:rsidP="005146FA">
      <w:pPr>
        <w:pStyle w:val="p1"/>
        <w:tabs>
          <w:tab w:val="left" w:pos="426"/>
        </w:tabs>
        <w:spacing w:before="0" w:beforeAutospacing="0" w:after="0" w:afterAutospacing="0" w:line="360" w:lineRule="auto"/>
        <w:ind w:firstLine="426"/>
        <w:jc w:val="both"/>
        <w:rPr>
          <w:color w:val="000000" w:themeColor="text1"/>
          <w:sz w:val="28"/>
          <w:szCs w:val="28"/>
        </w:rPr>
      </w:pPr>
    </w:p>
    <w:p w:rsidR="009F79C8" w:rsidRPr="00CF5923" w:rsidRDefault="009F79C8" w:rsidP="005146FA">
      <w:pPr>
        <w:pStyle w:val="p1"/>
        <w:spacing w:before="0" w:beforeAutospacing="0" w:after="0" w:afterAutospacing="0" w:line="360" w:lineRule="auto"/>
        <w:ind w:firstLine="426"/>
        <w:jc w:val="both"/>
        <w:rPr>
          <w:rStyle w:val="s2"/>
          <w:sz w:val="28"/>
          <w:szCs w:val="28"/>
        </w:rPr>
      </w:pPr>
      <w:r w:rsidRPr="00CF5923">
        <w:rPr>
          <w:rStyle w:val="s2"/>
          <w:color w:val="000000" w:themeColor="text1"/>
          <w:sz w:val="28"/>
          <w:szCs w:val="28"/>
        </w:rPr>
        <w:t xml:space="preserve">Результаты шкалы </w:t>
      </w:r>
      <w:proofErr w:type="spellStart"/>
      <w:r w:rsidRPr="00CF5923">
        <w:rPr>
          <w:rStyle w:val="s2"/>
          <w:color w:val="000000" w:themeColor="text1"/>
          <w:sz w:val="28"/>
          <w:szCs w:val="28"/>
        </w:rPr>
        <w:t>Schramek</w:t>
      </w:r>
      <w:proofErr w:type="spellEnd"/>
      <w:r w:rsidRPr="00CF5923">
        <w:rPr>
          <w:rStyle w:val="s2"/>
          <w:color w:val="000000" w:themeColor="text1"/>
          <w:sz w:val="28"/>
          <w:szCs w:val="28"/>
        </w:rPr>
        <w:t xml:space="preserve"> показывают статистически значимое увеличение среднего балла в экспериментальной группе по сравнению с группой контроля: 4 (4 – 5) против 3 (3 – 4) (p=0,011) (Таблица 2).</w:t>
      </w:r>
    </w:p>
    <w:p w:rsidR="009F79C8" w:rsidRPr="00CF5923" w:rsidRDefault="009F79C8" w:rsidP="005146FA">
      <w:pPr>
        <w:pStyle w:val="p1"/>
        <w:spacing w:before="0" w:beforeAutospacing="0" w:after="0" w:afterAutospacing="0" w:line="360" w:lineRule="auto"/>
        <w:ind w:firstLine="426"/>
        <w:jc w:val="both"/>
        <w:rPr>
          <w:rStyle w:val="s2"/>
          <w:sz w:val="28"/>
          <w:szCs w:val="28"/>
        </w:rPr>
      </w:pPr>
      <w:r w:rsidRPr="00CF5923">
        <w:rPr>
          <w:rStyle w:val="s2"/>
          <w:color w:val="000000" w:themeColor="text1"/>
          <w:sz w:val="28"/>
          <w:szCs w:val="28"/>
        </w:rPr>
        <w:t xml:space="preserve">Время ответа на препарат и время </w:t>
      </w:r>
      <w:proofErr w:type="spellStart"/>
      <w:r w:rsidRPr="00CF5923">
        <w:rPr>
          <w:rStyle w:val="s2"/>
          <w:color w:val="000000" w:themeColor="text1"/>
          <w:sz w:val="28"/>
          <w:szCs w:val="28"/>
        </w:rPr>
        <w:t>детумесценции</w:t>
      </w:r>
      <w:proofErr w:type="spellEnd"/>
      <w:r w:rsidRPr="00CF5923">
        <w:rPr>
          <w:rStyle w:val="s2"/>
          <w:color w:val="000000" w:themeColor="text1"/>
          <w:sz w:val="28"/>
          <w:szCs w:val="28"/>
        </w:rPr>
        <w:t xml:space="preserve"> также статистически значимо различается между группами: </w:t>
      </w:r>
      <w:r w:rsidRPr="00CF5923">
        <w:rPr>
          <w:rStyle w:val="s2"/>
          <w:sz w:val="28"/>
          <w:szCs w:val="28"/>
        </w:rPr>
        <w:t xml:space="preserve">10 (10 - 15) </w:t>
      </w:r>
      <w:r w:rsidRPr="00CF5923">
        <w:rPr>
          <w:rStyle w:val="s2"/>
          <w:color w:val="000000" w:themeColor="text1"/>
          <w:sz w:val="28"/>
          <w:szCs w:val="28"/>
        </w:rPr>
        <w:t xml:space="preserve">мин. против 15 (15 – 15) мин., p = 0,001 соответственно; </w:t>
      </w:r>
      <w:r w:rsidRPr="00CF5923">
        <w:rPr>
          <w:rStyle w:val="s2"/>
          <w:sz w:val="28"/>
          <w:szCs w:val="28"/>
        </w:rPr>
        <w:t xml:space="preserve">120 (68,8 – 160) </w:t>
      </w:r>
      <w:r w:rsidRPr="00CF5923">
        <w:rPr>
          <w:rStyle w:val="s2"/>
          <w:color w:val="000000" w:themeColor="text1"/>
          <w:sz w:val="28"/>
          <w:szCs w:val="28"/>
        </w:rPr>
        <w:t xml:space="preserve">мин. против </w:t>
      </w:r>
      <w:r w:rsidRPr="00CF5923">
        <w:rPr>
          <w:rStyle w:val="s2"/>
          <w:sz w:val="28"/>
          <w:szCs w:val="28"/>
        </w:rPr>
        <w:t>60 (45 – 60) мин.</w:t>
      </w:r>
      <w:r w:rsidRPr="00CF5923">
        <w:rPr>
          <w:rStyle w:val="s2"/>
          <w:color w:val="000000" w:themeColor="text1"/>
          <w:sz w:val="28"/>
          <w:szCs w:val="28"/>
        </w:rPr>
        <w:t>, р&lt;0,001 соответственно (Таблица 2).</w:t>
      </w:r>
    </w:p>
    <w:p w:rsidR="009F79C8" w:rsidRPr="00CF5923" w:rsidRDefault="009F79C8" w:rsidP="005146FA">
      <w:pPr>
        <w:pStyle w:val="p1"/>
        <w:spacing w:before="0" w:beforeAutospacing="0" w:after="0" w:afterAutospacing="0" w:line="360" w:lineRule="auto"/>
        <w:ind w:firstLine="426"/>
        <w:jc w:val="both"/>
        <w:rPr>
          <w:rStyle w:val="s2"/>
          <w:color w:val="000000" w:themeColor="text1"/>
          <w:sz w:val="28"/>
          <w:szCs w:val="28"/>
        </w:rPr>
      </w:pPr>
      <w:r w:rsidRPr="00CF5923">
        <w:rPr>
          <w:rStyle w:val="s2"/>
          <w:color w:val="000000" w:themeColor="text1"/>
          <w:sz w:val="28"/>
          <w:szCs w:val="28"/>
        </w:rPr>
        <w:t>При оценке кровотока при УЗ-допплерографии сосудов полового члена с фармакологической нагрузкой после лечения выявлена статистически значимая разница КДС в левой КА (р=0,039) и повышение индекса резистентности сосудов полового члена в левой КА (p=0,008) между экспериментальной и контрольной группами (Таблица 2).</w:t>
      </w:r>
    </w:p>
    <w:p w:rsidR="009F79C8" w:rsidRDefault="009F79C8" w:rsidP="005146FA">
      <w:pPr>
        <w:pStyle w:val="p1"/>
        <w:spacing w:before="0" w:beforeAutospacing="0" w:after="0" w:afterAutospacing="0" w:line="360" w:lineRule="auto"/>
        <w:ind w:firstLine="426"/>
        <w:jc w:val="both"/>
        <w:rPr>
          <w:rStyle w:val="s2"/>
          <w:color w:val="000000" w:themeColor="text1"/>
          <w:sz w:val="28"/>
          <w:szCs w:val="28"/>
        </w:rPr>
      </w:pPr>
      <w:r w:rsidRPr="00CF5923">
        <w:rPr>
          <w:rStyle w:val="s2"/>
          <w:color w:val="000000" w:themeColor="text1"/>
          <w:sz w:val="28"/>
          <w:szCs w:val="28"/>
        </w:rPr>
        <w:t xml:space="preserve">Корреляционный тест </w:t>
      </w:r>
      <w:proofErr w:type="spellStart"/>
      <w:r w:rsidRPr="00CF5923">
        <w:rPr>
          <w:rStyle w:val="s2"/>
          <w:color w:val="000000" w:themeColor="text1"/>
          <w:sz w:val="28"/>
          <w:szCs w:val="28"/>
        </w:rPr>
        <w:t>Спирмена</w:t>
      </w:r>
      <w:proofErr w:type="spellEnd"/>
      <w:r w:rsidRPr="00CF5923">
        <w:rPr>
          <w:rStyle w:val="s2"/>
          <w:color w:val="000000" w:themeColor="text1"/>
          <w:sz w:val="28"/>
          <w:szCs w:val="28"/>
        </w:rPr>
        <w:t xml:space="preserve"> выявил значимую связь между проведением радиоволновой электротерапии (448 кГц) и баллами по опросникам: МИЭФ-5 (r=0,730, </w:t>
      </w:r>
      <w:proofErr w:type="gramStart"/>
      <w:r w:rsidRPr="00CF5923">
        <w:rPr>
          <w:rStyle w:val="s2"/>
          <w:color w:val="000000" w:themeColor="text1"/>
          <w:sz w:val="28"/>
          <w:szCs w:val="28"/>
        </w:rPr>
        <w:t>p&lt;</w:t>
      </w:r>
      <w:proofErr w:type="gramEnd"/>
      <w:r w:rsidRPr="00CF5923">
        <w:rPr>
          <w:rStyle w:val="s2"/>
          <w:color w:val="000000" w:themeColor="text1"/>
          <w:sz w:val="28"/>
          <w:szCs w:val="28"/>
        </w:rPr>
        <w:t xml:space="preserve">0,001), SEP (r=0,716, p= p&lt;0,001) и шкалой </w:t>
      </w:r>
      <w:proofErr w:type="spellStart"/>
      <w:r w:rsidRPr="00CF5923">
        <w:rPr>
          <w:rStyle w:val="s2"/>
          <w:color w:val="000000" w:themeColor="text1"/>
          <w:sz w:val="28"/>
          <w:szCs w:val="28"/>
        </w:rPr>
        <w:t>Schramek</w:t>
      </w:r>
      <w:proofErr w:type="spellEnd"/>
      <w:r w:rsidRPr="00CF5923">
        <w:rPr>
          <w:rStyle w:val="s2"/>
          <w:color w:val="000000" w:themeColor="text1"/>
          <w:sz w:val="28"/>
          <w:szCs w:val="28"/>
        </w:rPr>
        <w:t xml:space="preserve"> (r=0,815, p&lt;0,001) (Таблица 3).</w:t>
      </w:r>
    </w:p>
    <w:p w:rsidR="002E23B6" w:rsidRPr="00CF5923" w:rsidRDefault="002E23B6" w:rsidP="005146FA">
      <w:pPr>
        <w:pStyle w:val="p1"/>
        <w:spacing w:before="0" w:beforeAutospacing="0" w:after="0" w:afterAutospacing="0" w:line="360" w:lineRule="auto"/>
        <w:ind w:firstLine="426"/>
        <w:jc w:val="both"/>
        <w:rPr>
          <w:rStyle w:val="s2"/>
          <w:color w:val="000000" w:themeColor="text1"/>
          <w:sz w:val="28"/>
          <w:szCs w:val="28"/>
        </w:rPr>
      </w:pPr>
    </w:p>
    <w:p w:rsidR="00CF5923" w:rsidRPr="00CF5923" w:rsidRDefault="00CF5923" w:rsidP="005146FA">
      <w:pPr>
        <w:pStyle w:val="p1"/>
        <w:spacing w:before="0" w:beforeAutospacing="0" w:after="0" w:afterAutospacing="0" w:line="360" w:lineRule="auto"/>
        <w:ind w:firstLine="426"/>
        <w:jc w:val="both"/>
        <w:rPr>
          <w:rStyle w:val="s2"/>
          <w:color w:val="000000" w:themeColor="text1"/>
          <w:sz w:val="28"/>
          <w:szCs w:val="28"/>
        </w:rPr>
      </w:pPr>
      <w:r w:rsidRPr="00CF5923">
        <w:rPr>
          <w:rStyle w:val="s2"/>
          <w:color w:val="000000" w:themeColor="text1"/>
          <w:sz w:val="28"/>
          <w:szCs w:val="28"/>
        </w:rPr>
        <w:t xml:space="preserve">Таблица 3. Корреляционный тест </w:t>
      </w:r>
      <w:proofErr w:type="spellStart"/>
      <w:r w:rsidRPr="00CF5923">
        <w:rPr>
          <w:rStyle w:val="s2"/>
          <w:color w:val="000000" w:themeColor="text1"/>
          <w:sz w:val="28"/>
          <w:szCs w:val="28"/>
        </w:rPr>
        <w:t>Спирмена</w:t>
      </w:r>
      <w:proofErr w:type="spellEnd"/>
      <w:r w:rsidRPr="00CF5923">
        <w:rPr>
          <w:rStyle w:val="s2"/>
          <w:color w:val="000000" w:themeColor="text1"/>
          <w:sz w:val="28"/>
          <w:szCs w:val="28"/>
        </w:rPr>
        <w:t>.</w:t>
      </w:r>
    </w:p>
    <w:tbl>
      <w:tblPr>
        <w:tblStyle w:val="a3"/>
        <w:tblW w:w="0" w:type="auto"/>
        <w:tblLook w:val="04A0" w:firstRow="1" w:lastRow="0" w:firstColumn="1" w:lastColumn="0" w:noHBand="0" w:noVBand="1"/>
      </w:tblPr>
      <w:tblGrid>
        <w:gridCol w:w="2388"/>
        <w:gridCol w:w="2316"/>
        <w:gridCol w:w="2316"/>
        <w:gridCol w:w="2324"/>
      </w:tblGrid>
      <w:tr w:rsidR="00CF5923" w:rsidRPr="00CF5923" w:rsidTr="00CF5923">
        <w:trPr>
          <w:trHeight w:val="483"/>
        </w:trPr>
        <w:tc>
          <w:tcPr>
            <w:tcW w:w="2388" w:type="dxa"/>
          </w:tcPr>
          <w:p w:rsidR="00CF5923" w:rsidRPr="00CF5923" w:rsidRDefault="00CF5923" w:rsidP="005146FA">
            <w:pPr>
              <w:spacing w:line="276" w:lineRule="auto"/>
              <w:ind w:right="114"/>
              <w:jc w:val="both"/>
              <w:rPr>
                <w:rFonts w:ascii="Times New Roman" w:hAnsi="Times New Roman" w:cs="Times New Roman"/>
                <w:bCs/>
                <w:sz w:val="28"/>
                <w:szCs w:val="28"/>
              </w:rPr>
            </w:pP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rPr>
              <w:t>МИЭФ-5</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SEP</w:t>
            </w:r>
          </w:p>
        </w:tc>
        <w:tc>
          <w:tcPr>
            <w:tcW w:w="2324"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proofErr w:type="spellStart"/>
            <w:r w:rsidRPr="00CF5923">
              <w:rPr>
                <w:rFonts w:ascii="Times New Roman" w:hAnsi="Times New Roman" w:cs="Times New Roman"/>
                <w:bCs/>
                <w:sz w:val="28"/>
                <w:szCs w:val="28"/>
                <w:lang w:val="en-US"/>
              </w:rPr>
              <w:t>Schramek</w:t>
            </w:r>
            <w:proofErr w:type="spellEnd"/>
          </w:p>
        </w:tc>
      </w:tr>
      <w:tr w:rsidR="00CF5923" w:rsidRPr="00CF5923" w:rsidTr="00CF5923">
        <w:trPr>
          <w:trHeight w:val="952"/>
        </w:trPr>
        <w:tc>
          <w:tcPr>
            <w:tcW w:w="2388" w:type="dxa"/>
            <w:vAlign w:val="center"/>
          </w:tcPr>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rPr>
              <w:t>Факт проведения радиоволновой электротерапии</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
                <w:sz w:val="28"/>
                <w:szCs w:val="28"/>
                <w:lang w:val="en-US"/>
              </w:rPr>
            </w:pPr>
            <w:r w:rsidRPr="00CF5923">
              <w:rPr>
                <w:rFonts w:ascii="Times New Roman" w:hAnsi="Times New Roman" w:cs="Times New Roman"/>
                <w:b/>
                <w:sz w:val="28"/>
                <w:szCs w:val="28"/>
                <w:lang w:val="en-US"/>
              </w:rPr>
              <w:t>r=0,730*</w:t>
            </w:r>
          </w:p>
          <w:p w:rsidR="00CF5923" w:rsidRPr="00CF5923" w:rsidRDefault="00CF5923" w:rsidP="005146FA">
            <w:pPr>
              <w:spacing w:line="276" w:lineRule="auto"/>
              <w:ind w:right="114"/>
              <w:jc w:val="both"/>
              <w:rPr>
                <w:rFonts w:ascii="Times New Roman" w:hAnsi="Times New Roman" w:cs="Times New Roman"/>
                <w:b/>
                <w:sz w:val="28"/>
                <w:szCs w:val="28"/>
                <w:lang w:val="en-US"/>
              </w:rPr>
            </w:pPr>
            <w:r w:rsidRPr="00CF5923">
              <w:rPr>
                <w:rFonts w:ascii="Times New Roman" w:hAnsi="Times New Roman" w:cs="Times New Roman"/>
                <w:b/>
                <w:sz w:val="28"/>
                <w:szCs w:val="28"/>
                <w:lang w:val="en-US"/>
              </w:rPr>
              <w:t>p&lt;0,001</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
                <w:sz w:val="28"/>
                <w:szCs w:val="28"/>
                <w:lang w:val="en-US"/>
              </w:rPr>
            </w:pPr>
            <w:r w:rsidRPr="00CF5923">
              <w:rPr>
                <w:rFonts w:ascii="Times New Roman" w:hAnsi="Times New Roman" w:cs="Times New Roman"/>
                <w:b/>
                <w:sz w:val="28"/>
                <w:szCs w:val="28"/>
                <w:lang w:val="en-US"/>
              </w:rPr>
              <w:t>r=0,716*</w:t>
            </w:r>
          </w:p>
          <w:p w:rsidR="00CF5923" w:rsidRPr="00CF5923" w:rsidRDefault="00CF5923" w:rsidP="005146FA">
            <w:pPr>
              <w:spacing w:line="276" w:lineRule="auto"/>
              <w:ind w:right="114"/>
              <w:jc w:val="both"/>
              <w:rPr>
                <w:rFonts w:ascii="Times New Roman" w:hAnsi="Times New Roman" w:cs="Times New Roman"/>
                <w:b/>
                <w:sz w:val="28"/>
                <w:szCs w:val="28"/>
              </w:rPr>
            </w:pPr>
            <w:r w:rsidRPr="00CF5923">
              <w:rPr>
                <w:rFonts w:ascii="Times New Roman" w:hAnsi="Times New Roman" w:cs="Times New Roman"/>
                <w:b/>
                <w:sz w:val="28"/>
                <w:szCs w:val="28"/>
                <w:lang w:val="en-US"/>
              </w:rPr>
              <w:t>p&lt;0,001</w:t>
            </w:r>
          </w:p>
        </w:tc>
        <w:tc>
          <w:tcPr>
            <w:tcW w:w="2324" w:type="dxa"/>
            <w:vAlign w:val="center"/>
          </w:tcPr>
          <w:p w:rsidR="00CF5923" w:rsidRPr="00CF5923" w:rsidRDefault="00CF5923" w:rsidP="005146FA">
            <w:pPr>
              <w:spacing w:line="276" w:lineRule="auto"/>
              <w:ind w:right="114"/>
              <w:jc w:val="both"/>
              <w:rPr>
                <w:rFonts w:ascii="Times New Roman" w:hAnsi="Times New Roman" w:cs="Times New Roman"/>
                <w:b/>
                <w:sz w:val="28"/>
                <w:szCs w:val="28"/>
                <w:lang w:val="en-US"/>
              </w:rPr>
            </w:pPr>
            <w:r w:rsidRPr="00CF5923">
              <w:rPr>
                <w:rFonts w:ascii="Times New Roman" w:hAnsi="Times New Roman" w:cs="Times New Roman"/>
                <w:b/>
                <w:sz w:val="28"/>
                <w:szCs w:val="28"/>
                <w:lang w:val="en-US"/>
              </w:rPr>
              <w:t>r=0,815*</w:t>
            </w:r>
          </w:p>
          <w:p w:rsidR="00CF5923" w:rsidRPr="00CF5923" w:rsidRDefault="00CF5923" w:rsidP="005146FA">
            <w:pPr>
              <w:spacing w:line="276" w:lineRule="auto"/>
              <w:ind w:right="114"/>
              <w:jc w:val="both"/>
              <w:rPr>
                <w:rFonts w:ascii="Times New Roman" w:hAnsi="Times New Roman" w:cs="Times New Roman"/>
                <w:b/>
                <w:sz w:val="28"/>
                <w:szCs w:val="28"/>
              </w:rPr>
            </w:pPr>
            <w:r w:rsidRPr="00CF5923">
              <w:rPr>
                <w:rFonts w:ascii="Times New Roman" w:hAnsi="Times New Roman" w:cs="Times New Roman"/>
                <w:b/>
                <w:sz w:val="28"/>
                <w:szCs w:val="28"/>
                <w:lang w:val="en-US"/>
              </w:rPr>
              <w:t>p&lt;0,001</w:t>
            </w:r>
          </w:p>
        </w:tc>
      </w:tr>
      <w:tr w:rsidR="00CF5923" w:rsidRPr="00CF5923" w:rsidTr="00CF5923">
        <w:trPr>
          <w:trHeight w:val="952"/>
        </w:trPr>
        <w:tc>
          <w:tcPr>
            <w:tcW w:w="2388" w:type="dxa"/>
            <w:vAlign w:val="center"/>
          </w:tcPr>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rPr>
              <w:t>Возраст</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r=-0,060</w:t>
            </w:r>
          </w:p>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p=0,641</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r=0,039</w:t>
            </w:r>
          </w:p>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lang w:val="en-US"/>
              </w:rPr>
              <w:t>p=0,763</w:t>
            </w:r>
          </w:p>
        </w:tc>
        <w:tc>
          <w:tcPr>
            <w:tcW w:w="2324"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r=0,010</w:t>
            </w:r>
          </w:p>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lang w:val="en-US"/>
              </w:rPr>
              <w:t>p=0,941</w:t>
            </w:r>
          </w:p>
        </w:tc>
      </w:tr>
      <w:tr w:rsidR="00CF5923" w:rsidRPr="00CF5923" w:rsidTr="00CF5923">
        <w:trPr>
          <w:trHeight w:val="952"/>
        </w:trPr>
        <w:tc>
          <w:tcPr>
            <w:tcW w:w="2388" w:type="dxa"/>
            <w:vAlign w:val="center"/>
          </w:tcPr>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rPr>
              <w:t>ИМТ</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r=-0,015</w:t>
            </w:r>
          </w:p>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lang w:val="en-US"/>
              </w:rPr>
              <w:t>p=0,906</w:t>
            </w:r>
          </w:p>
        </w:tc>
        <w:tc>
          <w:tcPr>
            <w:tcW w:w="2316"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r=0,097</w:t>
            </w:r>
          </w:p>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lang w:val="en-US"/>
              </w:rPr>
              <w:t>p=0,453</w:t>
            </w:r>
          </w:p>
        </w:tc>
        <w:tc>
          <w:tcPr>
            <w:tcW w:w="2324" w:type="dxa"/>
            <w:vAlign w:val="center"/>
          </w:tcPr>
          <w:p w:rsidR="00CF5923" w:rsidRPr="00CF5923" w:rsidRDefault="00CF5923" w:rsidP="005146FA">
            <w:pPr>
              <w:spacing w:line="276" w:lineRule="auto"/>
              <w:ind w:right="114"/>
              <w:jc w:val="both"/>
              <w:rPr>
                <w:rFonts w:ascii="Times New Roman" w:hAnsi="Times New Roman" w:cs="Times New Roman"/>
                <w:bCs/>
                <w:sz w:val="28"/>
                <w:szCs w:val="28"/>
                <w:lang w:val="en-US"/>
              </w:rPr>
            </w:pPr>
            <w:r w:rsidRPr="00CF5923">
              <w:rPr>
                <w:rFonts w:ascii="Times New Roman" w:hAnsi="Times New Roman" w:cs="Times New Roman"/>
                <w:bCs/>
                <w:sz w:val="28"/>
                <w:szCs w:val="28"/>
                <w:lang w:val="en-US"/>
              </w:rPr>
              <w:t>r=-0,007</w:t>
            </w:r>
          </w:p>
          <w:p w:rsidR="00CF5923" w:rsidRPr="00CF5923" w:rsidRDefault="00CF5923" w:rsidP="005146FA">
            <w:pPr>
              <w:spacing w:line="276" w:lineRule="auto"/>
              <w:ind w:right="114"/>
              <w:jc w:val="both"/>
              <w:rPr>
                <w:rFonts w:ascii="Times New Roman" w:hAnsi="Times New Roman" w:cs="Times New Roman"/>
                <w:bCs/>
                <w:sz w:val="28"/>
                <w:szCs w:val="28"/>
              </w:rPr>
            </w:pPr>
            <w:r w:rsidRPr="00CF5923">
              <w:rPr>
                <w:rFonts w:ascii="Times New Roman" w:hAnsi="Times New Roman" w:cs="Times New Roman"/>
                <w:bCs/>
                <w:sz w:val="28"/>
                <w:szCs w:val="28"/>
                <w:lang w:val="en-US"/>
              </w:rPr>
              <w:t>p=0,954</w:t>
            </w:r>
          </w:p>
        </w:tc>
      </w:tr>
      <w:tr w:rsidR="00CF5923" w:rsidRPr="00CF5923" w:rsidTr="00CF5923">
        <w:trPr>
          <w:trHeight w:val="952"/>
        </w:trPr>
        <w:tc>
          <w:tcPr>
            <w:tcW w:w="2388" w:type="dxa"/>
            <w:vAlign w:val="center"/>
          </w:tcPr>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Курение</w:t>
            </w:r>
          </w:p>
        </w:tc>
        <w:tc>
          <w:tcPr>
            <w:tcW w:w="2316" w:type="dxa"/>
            <w:vAlign w:val="center"/>
          </w:tcPr>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r=-0,025</w:t>
            </w:r>
          </w:p>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p=0,847</w:t>
            </w:r>
          </w:p>
        </w:tc>
        <w:tc>
          <w:tcPr>
            <w:tcW w:w="2316" w:type="dxa"/>
            <w:vAlign w:val="center"/>
          </w:tcPr>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r=0,061</w:t>
            </w:r>
          </w:p>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p=0,641</w:t>
            </w:r>
          </w:p>
        </w:tc>
        <w:tc>
          <w:tcPr>
            <w:tcW w:w="2324" w:type="dxa"/>
            <w:vAlign w:val="center"/>
          </w:tcPr>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r=0,030</w:t>
            </w:r>
          </w:p>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p=0,820</w:t>
            </w:r>
          </w:p>
        </w:tc>
      </w:tr>
    </w:tbl>
    <w:p w:rsidR="00CF5923" w:rsidRPr="00CF5923" w:rsidRDefault="00CF5923" w:rsidP="005146FA">
      <w:pPr>
        <w:spacing w:line="276" w:lineRule="auto"/>
        <w:ind w:right="114"/>
        <w:jc w:val="both"/>
        <w:rPr>
          <w:rStyle w:val="s2"/>
          <w:rFonts w:ascii="Times New Roman" w:eastAsia="Times New Roman" w:hAnsi="Times New Roman" w:cs="Times New Roman"/>
          <w:sz w:val="28"/>
          <w:szCs w:val="28"/>
          <w:lang w:eastAsia="ru-RU"/>
        </w:rPr>
      </w:pPr>
      <w:r w:rsidRPr="00CF5923">
        <w:rPr>
          <w:rStyle w:val="s2"/>
          <w:rFonts w:ascii="Times New Roman" w:eastAsia="Times New Roman" w:hAnsi="Times New Roman" w:cs="Times New Roman"/>
          <w:color w:val="000000" w:themeColor="text1"/>
          <w:sz w:val="28"/>
          <w:szCs w:val="28"/>
          <w:lang w:eastAsia="ru-RU"/>
        </w:rPr>
        <w:lastRenderedPageBreak/>
        <w:t>Данные представлены как r (коэффициент корреляции)</w:t>
      </w:r>
      <w:r w:rsidRPr="00CF5923">
        <w:rPr>
          <w:rStyle w:val="s2"/>
          <w:rFonts w:ascii="Times New Roman" w:eastAsia="Times New Roman" w:hAnsi="Times New Roman" w:cs="Times New Roman"/>
          <w:sz w:val="28"/>
          <w:szCs w:val="28"/>
          <w:lang w:eastAsia="ru-RU"/>
        </w:rPr>
        <w:t xml:space="preserve"> и p (уровень значимости)</w:t>
      </w:r>
    </w:p>
    <w:p w:rsidR="00CF5923" w:rsidRPr="00CF5923" w:rsidRDefault="00CF5923" w:rsidP="005146FA">
      <w:pPr>
        <w:spacing w:line="276" w:lineRule="auto"/>
        <w:ind w:right="114"/>
        <w:jc w:val="both"/>
        <w:rPr>
          <w:rStyle w:val="s2"/>
          <w:rFonts w:ascii="Times New Roman" w:eastAsia="Times New Roman" w:hAnsi="Times New Roman" w:cs="Times New Roman"/>
          <w:color w:val="000000" w:themeColor="text1"/>
          <w:sz w:val="28"/>
          <w:szCs w:val="28"/>
          <w:lang w:eastAsia="ru-RU"/>
        </w:rPr>
      </w:pPr>
      <w:r w:rsidRPr="00CF5923">
        <w:rPr>
          <w:rStyle w:val="s2"/>
          <w:rFonts w:ascii="Times New Roman" w:eastAsia="Times New Roman" w:hAnsi="Times New Roman" w:cs="Times New Roman"/>
          <w:color w:val="000000" w:themeColor="text1"/>
          <w:sz w:val="28"/>
          <w:szCs w:val="28"/>
          <w:lang w:eastAsia="ru-RU"/>
        </w:rPr>
        <w:t>*- статистически значимые корреляции</w:t>
      </w:r>
    </w:p>
    <w:p w:rsidR="009F79C8" w:rsidRPr="00CF5923" w:rsidRDefault="009F79C8" w:rsidP="005146FA">
      <w:pPr>
        <w:spacing w:line="360" w:lineRule="auto"/>
        <w:ind w:right="114"/>
        <w:jc w:val="both"/>
        <w:rPr>
          <w:rFonts w:ascii="Times New Roman" w:hAnsi="Times New Roman" w:cs="Times New Roman"/>
          <w:b/>
          <w:sz w:val="28"/>
          <w:szCs w:val="28"/>
        </w:rPr>
      </w:pPr>
      <w:r w:rsidRPr="00CF5923">
        <w:rPr>
          <w:rFonts w:ascii="Times New Roman" w:hAnsi="Times New Roman" w:cs="Times New Roman"/>
          <w:b/>
          <w:sz w:val="28"/>
          <w:szCs w:val="28"/>
        </w:rPr>
        <w:t>Обсуждение</w:t>
      </w:r>
    </w:p>
    <w:p w:rsidR="009F79C8" w:rsidRPr="00CF5923" w:rsidRDefault="009F79C8" w:rsidP="005146FA">
      <w:pPr>
        <w:pStyle w:val="p1"/>
        <w:spacing w:before="0" w:beforeAutospacing="0" w:after="0" w:afterAutospacing="0" w:line="360" w:lineRule="auto"/>
        <w:ind w:firstLine="426"/>
        <w:jc w:val="both"/>
        <w:rPr>
          <w:rStyle w:val="s2"/>
          <w:sz w:val="28"/>
          <w:szCs w:val="28"/>
        </w:rPr>
      </w:pPr>
      <w:r w:rsidRPr="00CF5923">
        <w:rPr>
          <w:rStyle w:val="s2"/>
          <w:sz w:val="28"/>
          <w:szCs w:val="28"/>
        </w:rPr>
        <w:t xml:space="preserve">Полученные в настоящей работе данные демонстрируют положительное влияние радиоволновой электротерапии с частотой 448 кГц на результаты лечения пациентов с органической ЭД: результаты опросников МИЭФ-5, SEP и шкалы </w:t>
      </w:r>
      <w:proofErr w:type="spellStart"/>
      <w:r w:rsidRPr="00CF5923">
        <w:rPr>
          <w:rStyle w:val="s2"/>
          <w:sz w:val="28"/>
          <w:szCs w:val="28"/>
        </w:rPr>
        <w:t>Schramek</w:t>
      </w:r>
      <w:proofErr w:type="spellEnd"/>
      <w:r w:rsidRPr="00CF5923">
        <w:rPr>
          <w:rStyle w:val="s2"/>
          <w:sz w:val="28"/>
          <w:szCs w:val="28"/>
        </w:rPr>
        <w:t xml:space="preserve"> выше в экспериментальной группе, нежели в контрольной. Отмечено уменьшение количества пациентов в подгруппе ЭД выраженной и умеренной степени, а также увеличение количества пациентов с лёгкой степенью ЭД и отсутствием признаков ЭД в экспериментальной группе после лечения. Также полученные результаты показывают улучшение показателей времени ответа на препарат и времени </w:t>
      </w:r>
      <w:proofErr w:type="spellStart"/>
      <w:r w:rsidRPr="00CF5923">
        <w:rPr>
          <w:rStyle w:val="s2"/>
          <w:sz w:val="28"/>
          <w:szCs w:val="28"/>
        </w:rPr>
        <w:t>детумесценции</w:t>
      </w:r>
      <w:proofErr w:type="spellEnd"/>
      <w:r w:rsidRPr="00CF5923">
        <w:rPr>
          <w:rStyle w:val="s2"/>
          <w:sz w:val="28"/>
          <w:szCs w:val="28"/>
        </w:rPr>
        <w:t xml:space="preserve"> в экспериментальной группе. При УЗ-допплерографии сосудов полового члена с фармакологической нагрузкой после лечения отмечено улучшение показателей конечной диастолической скорости и индекса резистентности в экспериментальной группе. </w:t>
      </w:r>
    </w:p>
    <w:p w:rsidR="009F79C8" w:rsidRPr="00CF5923" w:rsidRDefault="009F79C8" w:rsidP="005146FA">
      <w:pPr>
        <w:pStyle w:val="p1"/>
        <w:spacing w:before="0" w:beforeAutospacing="0" w:after="0" w:afterAutospacing="0" w:line="360" w:lineRule="auto"/>
        <w:ind w:firstLine="426"/>
        <w:jc w:val="both"/>
        <w:rPr>
          <w:rStyle w:val="s2"/>
          <w:sz w:val="28"/>
          <w:szCs w:val="28"/>
        </w:rPr>
      </w:pPr>
      <w:r w:rsidRPr="00CF5923">
        <w:rPr>
          <w:rStyle w:val="s2"/>
          <w:sz w:val="28"/>
          <w:szCs w:val="28"/>
        </w:rPr>
        <w:t xml:space="preserve">Метод радиоволновой электротерапии с частотой 448 кГц в урологии ранее не применялся, однако накопленный опыт его использования в медицинской реабилитации и в спортивной медицине для регенерации тканей при лечении повреждения мышц, костей, связок и сухожилий подвигло исследователей на мысль о применении методики при лечении ЭД. Согласно опубликованным исследованиям, к основным эффектам радиоволновой электротерапии с радиочастотой 448 кГц относят: стимуляцию ионного обмена, восстановление физиологической проницаемости клеточных мембран, стимуляцию артериального кровотока и улучшение микроциркуляции в зоне воздействия, стимуляцию метаболических процессов и пролиферации тканевых фибробластов, а также стимуляцию регенеративной способности тканей </w:t>
      </w:r>
      <w:r w:rsidRPr="00CF5923">
        <w:rPr>
          <w:rStyle w:val="s2"/>
          <w:sz w:val="28"/>
          <w:szCs w:val="28"/>
        </w:rPr>
        <w:fldChar w:fldCharType="begin" w:fldLock="1"/>
      </w:r>
      <w:r w:rsidR="00347E31">
        <w:rPr>
          <w:rStyle w:val="s2"/>
          <w:sz w:val="28"/>
          <w:szCs w:val="28"/>
        </w:rPr>
        <w:instrText>ADDIN CSL_CITATION {"citationItems":[{"id":"ITEM-1","itemData":{"DOI":"10.1152/japplphysiol.00732.2011","ISSN":"87507587","PMID":"22223450","abstract":"Regulation of subcutaneous adipose tissue blood flow (ATBF) remains poorly elucidated in humans, especially during exercise. In the present study we tested the role of adenosine in the regulation of ATBF adjacent to active and inactive thigh muscles during intermittent isometric knee-extension exercise (1 s contraction followed by 2 s rest with workloads of 50, 100, and 150 N) in six healthy young women. ATBF was measured using positron emission tomography (PET) without and with unspecific adenosine receptor inhibitor theophylline infused intravenously. Adipose regions were localized from fused PET and magnetic resonance images. Blood flow in subcutaneous adipose tissue adjacent to active muscle increased from rest (1.0 ± 0.3 ml·100 g -1·min -1) to exercise (P &lt; 0.001) and along with increasing exercise intensity (50 N = 4.1 ± 1.4, 100 N = 5.4 ± 1.8, and 150 N = 6.9 ± 3.0 ml·100 g -1·min -1, P = 0.03 for the increase). In contrast, ATBF adjacent to inactive muscle remained at resting levels with all intensities (</w:instrText>
      </w:r>
      <w:r w:rsidR="00347E31">
        <w:rPr>
          <w:rStyle w:val="s2"/>
          <w:rFonts w:ascii="Cambria Math" w:hAnsi="Cambria Math" w:cs="Cambria Math"/>
          <w:sz w:val="28"/>
          <w:szCs w:val="28"/>
        </w:rPr>
        <w:instrText>∼</w:instrText>
      </w:r>
      <w:r w:rsidR="00347E31">
        <w:rPr>
          <w:rStyle w:val="s2"/>
          <w:sz w:val="28"/>
          <w:szCs w:val="28"/>
        </w:rPr>
        <w:instrText>1.0 ± 0.5 ml·100 g -1·min -1). During exercise theophylline prevented the increase in ATBF adjacent to active muscle especially during the highest exercise intensity (50 N = 4.3 ± 1.8 ml·100 g -1·min -1, 100 N = 4.0 ± 1.5 ml·100 g -1·min -1, and 150 N = 4.9 ± 1.8 ml·100 g -1·min -1, P = 0.06 for an overall effect) but had no effect on blood flow adjacent to inactive muscle or adipose blood flow in resting contralateral leg. In conclusion, we report in the present study that 1) blood flow in subcutaneous adipose tissue of the leg is increased from rest to exercise in an exercise intensity-dependent manner, but only in the vicinity of working muscle, and 2) adenosine receptor antagonism attenuates this blood flow enhancement at the highest exercise intensities. Copyright © 2012 the American Physiological Society.","author":[{"dropping-particle":"","family":"Heinonen","given":"Ilkka","non-dropping-particle":"","parse-names":false,"suffix":""},{"dropping-particle":"","family":"Bucci","given":"Marco","non-dropping-particle":"","parse-names":false,"suffix":""},{"dropping-particle":"","family":"Kemppainen","given":"Jukka","non-dropping-particle":"","parse-names":false,"suffix":""},{"dropping-particle":"","family":"Knuuti","given":"Juhani","non-dropping-particle":"","parse-names":false,"suffix":""},{"dropping-particle":"","family":"Nuutila","given":"Pirjo","non-dropping-particle":"","parse-names":false,"suffix":""},{"dropping-particle":"","family":"Boushel","given":"Robert","non-dropping-particle":"","parse-names":false,"suffix":""},{"dropping-particle":"","family":"Kalliokoski","given":"Kari K.","non-dropping-particle":"","parse-names":false,"suffix":""}],"container-title":"Journal of Applied Physiology","id":"ITEM-1","issue":"6","issued":{"date-parts":[["2012"]]},"page":"1059-1063","title":"Regulation of subcutaneous adipose tissue blood flow during exercise in humans","type":"article-journal","volume":"112"},"uris":["http://www.mendeley.com/documents/?uuid=d3e59964-efd8-4b19-bd28-0be83e15bf5c","http://www.mendeley.com/documents/?uuid=d0a32392-37ee-431f-87cb-e2d2e04f4e0e","http://www.mendeley.com/documents/?uuid=eaacce90-fdbf-4d96-8e27-59ecdfe761aa","http://www.mendeley.com/documents/?uuid=d3ff4459-eef9-4081-866a-2b5c5ff53cf5"]},{"id":"ITEM-2","itemData":{"DOI":"10.1080/15368378.2017.1422260","ISSN":"15368386","PMID":"29308927","abstract":"Radiofrequency-based electrophysical agents (EPA) have been used in therapy practice over several decades (e.g., shortwave therapies). Currently, there is insufficient evidence supporting such devices operating below shortwave frequencies. This laboratory-based study investigated the skin physiological effects of 448 kHz capacitive resistive monopolar radiofrequency (CRMRF) and compared them to pulsed shortwave therapy (PSWT). In a randomised crossover study, seventeen healthy volunteers received four treatment conditions–High, Low and Placebo dose conditions receiving 15-min CRMRF treatment and a Control condition receiving no intervention. Fifteen participants also received high dose PSWT for comparison. Treatment was applied to the right lower medial thigh. Pre, post and 20-min follow-up measurements of skin temperature (SKT), skin blood flow (SBF) and nerve conduction velocity (NCV) were obtained using Biopac MP150 system. Group data were compared using the ANOVA model. Statistical significance was set at p ≤ 0.05 (0.8P, 95%CI). Significant increase and sustenance of SKT with both high and low dose CRMRF was demonstrated over the other groups (p &lt; 0.001). PSWT increased SKT significantly (p &lt; 0.001) but failed to sustain it over the follow-up. However, among the five conditions, only high dose CRMRF significantly increased and sustained SBF (p &lt; 0.001). Overall, the CRMRF physiological responses were significantly more pronounced than that of PSWT. No significant changes in NCV were noted for any condition. Physiological changes associated with CRMRF were more pronounced when compared to PSWT, placebo or control. Any potential stronger therapeutic benefits of CRMRF need to be confirmed by comparative clinical studies.","author":[{"dropping-particle":"","family":"Kumaran","given":"Binoy","non-dropping-particle":"","parse-names":false,"suffix":""},{"dropping-particle":"","family":"Watson","given":"Tim","non-dropping-particle":"","parse-names":false,"suffix":""}],"container-title":"Electromagnetic Biology and Medicine","id":"ITEM-2","issue":"1","issued":{"date-parts":[["2018"]]},"page":"1-12","publisher":"Taylor &amp; Francis","title":"Skin thermophysiological effects of 448 kHz capacitive resistive monopolar radiofrequency in healthy adults: A randomised crossover study and comparison with pulsed shortwave therapy","type":"article-journal","volume":"37"},"uris":["http://www.mendeley.com/documents/?uuid=d3a6b1fb-8056-49f6-9c4c-436f75994e92"]},{"id":"ITEM-3","itemData":{"DOI":"10.3892/mmr.2016.5032","ISSN":"17913004","PMID":"27035334","abstract":"The 448 kHz capacitive-resistive electric transfer (CRET) is an electrothermal therapy currently applied in anticellulite and antiobesity treatments. The aim of the present study was to determine whether exposure to the CRET electric signal at subthermal doses affected early adipogenic processes in adipose-derived stem cells (ADSC) from human donors. ADSC were incubated for 2 or 9 days in the presence of adipogenic medium, and exposed or sham-exposed to 5 min pulses of 448 kHz electric signal at 50 μA/mm2 during the last 48 h of the incubation. Colorimetric, immunofluorescence, western blotting and reverse transcription-quantitative polymerase chain reaction assays were performed to assess adipogenic differentiation of the ADSC. Electric stimulation significantly decreased cytoplasmic lipid content, after both 2 and 9 days of differentiation. The antiadipogenic response in the 9 day samples was accompanied by activation of mitogen-activated protein kinase kinase 1/2, decreased expression and partial inactivation of peroxisome proliferator-activated receptor (PPAR) γ, which was translocated from the nucleus to the cytoplasm, together with a significant decrease in the expression levels of the PPARG1 gene, perilipin, angiopoietin-like protein 4 and fatty acid synthase. These results demonstrated that subthermal stimulation with CRET interferes with the early adipogenic differentiation in ADSC, indicating that the electric stimulus itself can modulate processes controlling the synthesis and mobilization of fat, even in the absence of the concomitant thermal and mechanical components of the thermoelectric therapy CRET.","author":[{"dropping-particle":"","family":"Hernández-Bule","given":"María Luisa","non-dropping-particle":"","parse-names":false,"suffix":""},{"dropping-particle":"","family":"Martínez-Botas","given":"Javier","non-dropping-particle":"","parse-names":false,"suffix":""},{"dropping-particle":"","family":"Trillo","given":"María Ángeles","non-dropping-particle":"","parse-names":false,"suffix":""},{"dropping-particle":"","family":"Paíno","given":"Carlos L.","non-dropping-particle":"","parse-names":false,"suffix":""},{"dropping-particle":"","family":"Úbeda","given":"Alejandro","non-dropping-particle":"","parse-names":false,"suffix":""}],"container-title":"Molecular Medicine Reports","id":"ITEM-3","issue":"5","issued":{"date-parts":[["2016"]]},"page":"3895-3903","title":"Antiadipogenic effects of subthermal electric stimulation at 448 kHz on differentiating human mesenchymal stem cells","type":"article-journal","volume":"13"},"uris":["http://www.mendeley.com/documents/?uuid=14288c26-d535-42c8-8b8e-6fa8f1ba4dce"]}],"mendeley":{"formattedCitation":"[23,28,29]"},"properties":{"noteIndex":0},"schema":"https://github.com/citation-style-language/schema/raw/master/csl-citation.json"}</w:instrText>
      </w:r>
      <w:r w:rsidRPr="00CF5923">
        <w:rPr>
          <w:rStyle w:val="s2"/>
          <w:sz w:val="28"/>
          <w:szCs w:val="28"/>
        </w:rPr>
        <w:fldChar w:fldCharType="separate"/>
      </w:r>
      <w:r w:rsidR="00347E31" w:rsidRPr="00347E31">
        <w:rPr>
          <w:rStyle w:val="s2"/>
          <w:noProof/>
          <w:sz w:val="28"/>
          <w:szCs w:val="28"/>
        </w:rPr>
        <w:t>[23,28,29]</w:t>
      </w:r>
      <w:r w:rsidRPr="00CF5923">
        <w:rPr>
          <w:rStyle w:val="s2"/>
          <w:sz w:val="28"/>
          <w:szCs w:val="28"/>
        </w:rPr>
        <w:fldChar w:fldCharType="end"/>
      </w:r>
      <w:r w:rsidRPr="00CF5923">
        <w:rPr>
          <w:rStyle w:val="s2"/>
          <w:sz w:val="28"/>
          <w:szCs w:val="28"/>
        </w:rPr>
        <w:t xml:space="preserve">. Рядом исследований доказано уменьшение за счёт </w:t>
      </w:r>
      <w:proofErr w:type="spellStart"/>
      <w:r w:rsidRPr="00CF5923">
        <w:rPr>
          <w:rStyle w:val="s2"/>
          <w:sz w:val="28"/>
          <w:szCs w:val="28"/>
        </w:rPr>
        <w:lastRenderedPageBreak/>
        <w:t>электрофизиотерапии</w:t>
      </w:r>
      <w:proofErr w:type="spellEnd"/>
      <w:r w:rsidRPr="00CF5923">
        <w:rPr>
          <w:rStyle w:val="s2"/>
          <w:sz w:val="28"/>
          <w:szCs w:val="28"/>
        </w:rPr>
        <w:t xml:space="preserve"> выраженности болевого синдрома и местного воспаления, а также ускорение восстановительных процессов в тканях и повышение их функциональности за счет изменения скорости и объема кровотока, мышечного тонуса и эластичности тканей (по причине индуцированной гипертермии тканей) </w:t>
      </w:r>
      <w:r w:rsidRPr="00CF5923">
        <w:rPr>
          <w:rStyle w:val="s2"/>
          <w:sz w:val="28"/>
          <w:szCs w:val="28"/>
        </w:rPr>
        <w:fldChar w:fldCharType="begin" w:fldLock="1"/>
      </w:r>
      <w:r w:rsidR="00347E31">
        <w:rPr>
          <w:rStyle w:val="s2"/>
          <w:sz w:val="28"/>
          <w:szCs w:val="28"/>
        </w:rPr>
        <w:instrText>ADDIN CSL_CITATION {"citationItems":[{"id":"ITEM-1","itemData":{"DOI":"10.1152/japplphysiol.00732.2011","ISSN":"87507587","PMID":"22223450","abstract":"Regulation of subcutaneous adipose tissue blood flow (ATBF) remains poorly elucidated in humans, especially during exercise. In the present study we tested the role of adenosine in the regulation of ATBF adjacent to active and inactive thigh muscles during intermittent isometric knee-extension exercise (1 s contraction followed by 2 s rest with workloads of 50, 100, and 150 N) in six healthy young women. ATBF was measured using positron emission tomography (PET) without and with unspecific adenosine receptor inhibitor theophylline infused intravenously. Adipose regions were localized from fused PET and magnetic resonance images. Blood flow in subcutaneous adipose tissue adjacent to active muscle increased from rest (1.0 ± 0.3 ml·100 g -1·min -1) to exercise (P &lt; 0.001) and along with increasing exercise intensity (50 N = 4.1 ± 1.4, 100 N = 5.4 ± 1.8, and 150 N = 6.9 ± 3.0 ml·100 g -1·min -1, P = 0.03 for the increase). In contrast, ATBF adjacent to inactive muscle remained at resting levels with all intensities (</w:instrText>
      </w:r>
      <w:r w:rsidR="00347E31">
        <w:rPr>
          <w:rStyle w:val="s2"/>
          <w:rFonts w:ascii="Cambria Math" w:hAnsi="Cambria Math" w:cs="Cambria Math"/>
          <w:sz w:val="28"/>
          <w:szCs w:val="28"/>
        </w:rPr>
        <w:instrText>∼</w:instrText>
      </w:r>
      <w:r w:rsidR="00347E31">
        <w:rPr>
          <w:rStyle w:val="s2"/>
          <w:sz w:val="28"/>
          <w:szCs w:val="28"/>
        </w:rPr>
        <w:instrText>1.0 ± 0.5 ml·100 g -1·min -1). During exercise theophylline prevented the increase in ATBF adjacent to active muscle especially during the highest exercise intensity (50 N = 4.3 ± 1.8 ml·100 g -1·min -1, 100 N = 4.0 ± 1.5 ml·100 g -1·min -1, and 150 N = 4.9 ± 1.8 ml·100 g -1·min -1, P = 0.06 for an overall effect) but had no effect on blood flow adjacent to inactive muscle or adipose blood flow in resting contralateral leg. In conclusion, we report in the present study that 1) blood flow in subcutaneous adipose tissue of the leg is increased from rest to exercise in an exercise intensity-dependent manner, but only in the vicinity of working muscle, and 2) adenosine receptor antagonism attenuates this blood flow enhancement at the highest exercise intensities. Copyright © 2012 the American Physiological Society.","author":[{"dropping-particle":"","family":"Heinonen","given":"Ilkka","non-dropping-particle":"","parse-names":false,"suffix":""},{"dropping-particle":"","family":"Bucci","given":"Marco","non-dropping-particle":"","parse-names":false,"suffix":""},{"dropping-particle":"","family":"Kemppainen","given":"Jukka","non-dropping-particle":"","parse-names":false,"suffix":""},{"dropping-particle":"","family":"Knuuti","given":"Juhani","non-dropping-particle":"","parse-names":false,"suffix":""},{"dropping-particle":"","family":"Nuutila","given":"Pirjo","non-dropping-particle":"","parse-names":false,"suffix":""},{"dropping-particle":"","family":"Boushel","given":"Robert","non-dropping-particle":"","parse-names":false,"suffix":""},{"dropping-particle":"","family":"Kalliokoski","given":"Kari K.","non-dropping-particle":"","parse-names":false,"suffix":""}],"container-title":"Journal of Applied Physiology","id":"ITEM-1","issue":"6","issued":{"date-parts":[["2012"]]},"page":"1059-1063","title":"Regulation of subcutaneous adipose tissue blood flow during exercise in humans","type":"article-journal","volume":"112"},"uris":["http://www.mendeley.com/documents/?uuid=d3ff4459-eef9-4081-866a-2b5c5ff53cf5","http://www.mendeley.com/documents/?uuid=eaacce90-fdbf-4d96-8e27-59ecdfe761aa","http://www.mendeley.com/documents/?uuid=d0a32392-37ee-431f-87cb-e2d2e04f4e0e","http://www.mendeley.com/documents/?uuid=d3e59964-efd8-4b19-bd28-0be83e15bf5c"]}],"mendeley":{"formattedCitation":"[28]"},"properties":{"noteIndex":0},"schema":"https://github.com/citation-style-language/schema/raw/master/csl-citation.json"}</w:instrText>
      </w:r>
      <w:r w:rsidRPr="00CF5923">
        <w:rPr>
          <w:rStyle w:val="s2"/>
          <w:sz w:val="28"/>
          <w:szCs w:val="28"/>
        </w:rPr>
        <w:fldChar w:fldCharType="separate"/>
      </w:r>
      <w:r w:rsidR="00347E31" w:rsidRPr="00347E31">
        <w:rPr>
          <w:rStyle w:val="s2"/>
          <w:noProof/>
          <w:sz w:val="28"/>
          <w:szCs w:val="28"/>
        </w:rPr>
        <w:t>[28]</w:t>
      </w:r>
      <w:r w:rsidRPr="00CF5923">
        <w:rPr>
          <w:rStyle w:val="s2"/>
          <w:sz w:val="28"/>
          <w:szCs w:val="28"/>
        </w:rPr>
        <w:fldChar w:fldCharType="end"/>
      </w:r>
      <w:r w:rsidRPr="00CF5923">
        <w:rPr>
          <w:rStyle w:val="s2"/>
          <w:sz w:val="28"/>
          <w:szCs w:val="28"/>
        </w:rPr>
        <w:t xml:space="preserve">. </w:t>
      </w:r>
    </w:p>
    <w:p w:rsidR="009F79C8" w:rsidRPr="00CF5923" w:rsidRDefault="009F79C8" w:rsidP="005146FA">
      <w:pPr>
        <w:pStyle w:val="p1"/>
        <w:spacing w:before="0" w:beforeAutospacing="0" w:after="0" w:afterAutospacing="0" w:line="360" w:lineRule="auto"/>
        <w:ind w:firstLine="426"/>
        <w:jc w:val="both"/>
        <w:rPr>
          <w:rStyle w:val="s2"/>
          <w:sz w:val="28"/>
          <w:szCs w:val="28"/>
        </w:rPr>
      </w:pPr>
      <w:r w:rsidRPr="00CF5923">
        <w:rPr>
          <w:rStyle w:val="s2"/>
          <w:sz w:val="28"/>
          <w:szCs w:val="28"/>
        </w:rPr>
        <w:t xml:space="preserve">Влияние описанных эффектов положительно отражается и на лечении пациентов с органической эректильной дисфункцией, поскольку происходит улучшение микроциркуляции кавернозных тел, увеличение проницаемости сосудистой стенки для оксида азота и других </w:t>
      </w:r>
      <w:proofErr w:type="spellStart"/>
      <w:r w:rsidRPr="00CF5923">
        <w:rPr>
          <w:rStyle w:val="s2"/>
          <w:sz w:val="28"/>
          <w:szCs w:val="28"/>
        </w:rPr>
        <w:t>метаболически</w:t>
      </w:r>
      <w:proofErr w:type="spellEnd"/>
      <w:r w:rsidRPr="00CF5923">
        <w:rPr>
          <w:rStyle w:val="s2"/>
          <w:sz w:val="28"/>
          <w:szCs w:val="28"/>
        </w:rPr>
        <w:t xml:space="preserve"> активных веществ и улучшения репаративных процессов эндотелия каверноз</w:t>
      </w:r>
      <w:r w:rsidR="002E23B6">
        <w:rPr>
          <w:rStyle w:val="s2"/>
          <w:sz w:val="28"/>
          <w:szCs w:val="28"/>
        </w:rPr>
        <w:t>н</w:t>
      </w:r>
      <w:r w:rsidRPr="00CF5923">
        <w:rPr>
          <w:rStyle w:val="s2"/>
          <w:sz w:val="28"/>
          <w:szCs w:val="28"/>
        </w:rPr>
        <w:t xml:space="preserve">ых тел и </w:t>
      </w:r>
      <w:proofErr w:type="spellStart"/>
      <w:r w:rsidRPr="00CF5923">
        <w:rPr>
          <w:rStyle w:val="s2"/>
          <w:sz w:val="28"/>
          <w:szCs w:val="28"/>
        </w:rPr>
        <w:t>пенильных</w:t>
      </w:r>
      <w:proofErr w:type="spellEnd"/>
      <w:r w:rsidRPr="00CF5923">
        <w:rPr>
          <w:rStyle w:val="s2"/>
          <w:sz w:val="28"/>
          <w:szCs w:val="28"/>
        </w:rPr>
        <w:t xml:space="preserve"> сосудов. </w:t>
      </w:r>
    </w:p>
    <w:p w:rsidR="00B65E27" w:rsidRDefault="009F79C8" w:rsidP="005146FA">
      <w:pPr>
        <w:pStyle w:val="p1"/>
        <w:spacing w:before="0" w:beforeAutospacing="0" w:after="0" w:afterAutospacing="0" w:line="360" w:lineRule="auto"/>
        <w:ind w:firstLine="426"/>
        <w:jc w:val="both"/>
        <w:rPr>
          <w:rStyle w:val="s2"/>
          <w:sz w:val="28"/>
          <w:szCs w:val="28"/>
        </w:rPr>
      </w:pPr>
      <w:r w:rsidRPr="00CF5923">
        <w:rPr>
          <w:rStyle w:val="s2"/>
          <w:sz w:val="28"/>
          <w:szCs w:val="28"/>
        </w:rPr>
        <w:t>На основании анализа полученных данных, можно сделать вывод: основной механизм улучшения эректильной функции после проведённого лечения</w:t>
      </w:r>
      <w:r w:rsidR="00B65E27">
        <w:rPr>
          <w:rStyle w:val="s2"/>
          <w:sz w:val="28"/>
          <w:szCs w:val="28"/>
        </w:rPr>
        <w:t xml:space="preserve"> - устранение венозной утечки; и</w:t>
      </w:r>
      <w:r w:rsidRPr="00CF5923">
        <w:rPr>
          <w:rStyle w:val="s2"/>
          <w:sz w:val="28"/>
          <w:szCs w:val="28"/>
        </w:rPr>
        <w:t xml:space="preserve"> связано это может быть с улучшением метаболических и регенеративных процессов, следствием чего является повышение эластичности сосудов и ткани кавернозных тел полового члена. </w:t>
      </w:r>
    </w:p>
    <w:p w:rsidR="009F79C8" w:rsidRPr="00CF5923" w:rsidRDefault="009F79C8" w:rsidP="005146FA">
      <w:pPr>
        <w:pStyle w:val="p1"/>
        <w:spacing w:before="0" w:beforeAutospacing="0" w:after="0" w:afterAutospacing="0" w:line="360" w:lineRule="auto"/>
        <w:ind w:firstLine="426"/>
        <w:jc w:val="both"/>
        <w:rPr>
          <w:rStyle w:val="s2"/>
          <w:sz w:val="28"/>
          <w:szCs w:val="28"/>
        </w:rPr>
      </w:pPr>
      <w:r w:rsidRPr="00CF5923">
        <w:rPr>
          <w:rStyle w:val="s2"/>
          <w:sz w:val="28"/>
          <w:szCs w:val="28"/>
        </w:rPr>
        <w:t>Однако, данные выводы являются нашим предположением и требуют дальнейшего подтверждения.</w:t>
      </w:r>
    </w:p>
    <w:p w:rsidR="00B65E27" w:rsidRDefault="00B65E27" w:rsidP="005146FA">
      <w:pPr>
        <w:tabs>
          <w:tab w:val="left" w:pos="7075"/>
        </w:tabs>
        <w:spacing w:line="360" w:lineRule="auto"/>
        <w:ind w:left="-567" w:right="-1"/>
        <w:jc w:val="both"/>
        <w:rPr>
          <w:rFonts w:ascii="Times New Roman" w:hAnsi="Times New Roman" w:cs="Times New Roman"/>
          <w:b/>
          <w:sz w:val="28"/>
          <w:szCs w:val="28"/>
        </w:rPr>
      </w:pPr>
    </w:p>
    <w:p w:rsidR="00F50975" w:rsidRPr="00FA68D7" w:rsidRDefault="00036896" w:rsidP="005146FA">
      <w:pPr>
        <w:tabs>
          <w:tab w:val="left" w:pos="7075"/>
        </w:tabs>
        <w:spacing w:line="360" w:lineRule="auto"/>
        <w:ind w:left="-567" w:right="-1"/>
        <w:jc w:val="both"/>
        <w:rPr>
          <w:rFonts w:ascii="Times New Roman" w:hAnsi="Times New Roman" w:cs="Times New Roman"/>
          <w:b/>
          <w:sz w:val="28"/>
          <w:szCs w:val="28"/>
        </w:rPr>
      </w:pPr>
      <w:r w:rsidRPr="00FA68D7">
        <w:rPr>
          <w:rFonts w:ascii="Times New Roman" w:hAnsi="Times New Roman" w:cs="Times New Roman"/>
          <w:b/>
          <w:sz w:val="28"/>
          <w:szCs w:val="28"/>
        </w:rPr>
        <w:t>Общие в</w:t>
      </w:r>
      <w:r w:rsidR="008E305A" w:rsidRPr="00FA68D7">
        <w:rPr>
          <w:rFonts w:ascii="Times New Roman" w:hAnsi="Times New Roman" w:cs="Times New Roman"/>
          <w:b/>
          <w:sz w:val="28"/>
          <w:szCs w:val="28"/>
        </w:rPr>
        <w:t>ыводы</w:t>
      </w:r>
    </w:p>
    <w:p w:rsidR="00CF5923" w:rsidRPr="00FA68D7" w:rsidRDefault="00CF5923" w:rsidP="005146FA">
      <w:pPr>
        <w:numPr>
          <w:ilvl w:val="0"/>
          <w:numId w:val="2"/>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Pr="00FA68D7">
        <w:rPr>
          <w:rFonts w:ascii="Times New Roman" w:hAnsi="Times New Roman" w:cs="Times New Roman"/>
          <w:sz w:val="28"/>
          <w:szCs w:val="28"/>
        </w:rPr>
        <w:t>урсово</w:t>
      </w:r>
      <w:r>
        <w:rPr>
          <w:rFonts w:ascii="Times New Roman" w:hAnsi="Times New Roman" w:cs="Times New Roman"/>
          <w:sz w:val="28"/>
          <w:szCs w:val="28"/>
        </w:rPr>
        <w:t>е</w:t>
      </w:r>
      <w:r w:rsidRPr="00FA68D7">
        <w:rPr>
          <w:rFonts w:ascii="Times New Roman" w:hAnsi="Times New Roman" w:cs="Times New Roman"/>
          <w:sz w:val="28"/>
          <w:szCs w:val="28"/>
        </w:rPr>
        <w:t xml:space="preserve"> лечени</w:t>
      </w:r>
      <w:r>
        <w:rPr>
          <w:rFonts w:ascii="Times New Roman" w:hAnsi="Times New Roman" w:cs="Times New Roman"/>
          <w:sz w:val="28"/>
          <w:szCs w:val="28"/>
        </w:rPr>
        <w:t>е</w:t>
      </w:r>
      <w:r w:rsidRPr="00FA68D7">
        <w:rPr>
          <w:rFonts w:ascii="Times New Roman" w:hAnsi="Times New Roman" w:cs="Times New Roman"/>
          <w:sz w:val="28"/>
          <w:szCs w:val="28"/>
        </w:rPr>
        <w:t xml:space="preserve"> пациентов с органической эректильной дисфункцией </w:t>
      </w:r>
      <w:r>
        <w:rPr>
          <w:rFonts w:ascii="Times New Roman" w:hAnsi="Times New Roman" w:cs="Times New Roman"/>
          <w:sz w:val="28"/>
          <w:szCs w:val="28"/>
        </w:rPr>
        <w:t xml:space="preserve">с применением </w:t>
      </w:r>
      <w:r w:rsidRPr="00FA68D7">
        <w:rPr>
          <w:rFonts w:ascii="Times New Roman" w:hAnsi="Times New Roman" w:cs="Times New Roman"/>
          <w:sz w:val="28"/>
          <w:szCs w:val="28"/>
        </w:rPr>
        <w:t>аппарат</w:t>
      </w:r>
      <w:r>
        <w:rPr>
          <w:rFonts w:ascii="Times New Roman" w:hAnsi="Times New Roman" w:cs="Times New Roman"/>
          <w:sz w:val="28"/>
          <w:szCs w:val="28"/>
        </w:rPr>
        <w:t>а</w:t>
      </w:r>
      <w:r w:rsidRPr="00FA68D7">
        <w:rPr>
          <w:rFonts w:ascii="Times New Roman" w:hAnsi="Times New Roman" w:cs="Times New Roman"/>
          <w:sz w:val="28"/>
          <w:szCs w:val="28"/>
        </w:rPr>
        <w:t xml:space="preserve"> непрерывной емкостной резистивной </w:t>
      </w:r>
      <w:proofErr w:type="spellStart"/>
      <w:r w:rsidRPr="00FA68D7">
        <w:rPr>
          <w:rFonts w:ascii="Times New Roman" w:hAnsi="Times New Roman" w:cs="Times New Roman"/>
          <w:sz w:val="28"/>
          <w:szCs w:val="28"/>
        </w:rPr>
        <w:t>монополярной</w:t>
      </w:r>
      <w:proofErr w:type="spellEnd"/>
      <w:r w:rsidRPr="00FA68D7">
        <w:rPr>
          <w:rFonts w:ascii="Times New Roman" w:hAnsi="Times New Roman" w:cs="Times New Roman"/>
          <w:sz w:val="28"/>
          <w:szCs w:val="28"/>
        </w:rPr>
        <w:t xml:space="preserve"> электротерапии с радиочастотой 448 кГц </w:t>
      </w:r>
      <w:r>
        <w:rPr>
          <w:rFonts w:ascii="Times New Roman" w:hAnsi="Times New Roman" w:cs="Times New Roman"/>
          <w:sz w:val="28"/>
          <w:szCs w:val="28"/>
        </w:rPr>
        <w:t xml:space="preserve">является </w:t>
      </w:r>
      <w:r w:rsidR="00B65E27">
        <w:rPr>
          <w:rFonts w:ascii="Times New Roman" w:hAnsi="Times New Roman" w:cs="Times New Roman"/>
          <w:sz w:val="28"/>
          <w:szCs w:val="28"/>
        </w:rPr>
        <w:t>эффективной</w:t>
      </w:r>
      <w:r>
        <w:rPr>
          <w:rFonts w:ascii="Times New Roman" w:hAnsi="Times New Roman" w:cs="Times New Roman"/>
          <w:sz w:val="28"/>
          <w:szCs w:val="28"/>
        </w:rPr>
        <w:t xml:space="preserve"> методикой в пуле современных неинвазивных методов лечения эректильной дисфункции</w:t>
      </w:r>
      <w:r w:rsidRPr="00FA68D7">
        <w:rPr>
          <w:rFonts w:ascii="Times New Roman" w:hAnsi="Times New Roman" w:cs="Times New Roman"/>
          <w:sz w:val="28"/>
          <w:szCs w:val="28"/>
        </w:rPr>
        <w:t>.</w:t>
      </w:r>
    </w:p>
    <w:p w:rsidR="00CF5923" w:rsidRPr="00FA68D7" w:rsidRDefault="00CF5923" w:rsidP="005146FA">
      <w:pPr>
        <w:numPr>
          <w:ilvl w:val="0"/>
          <w:numId w:val="2"/>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Pr="00FA68D7">
        <w:rPr>
          <w:rFonts w:ascii="Times New Roman" w:hAnsi="Times New Roman" w:cs="Times New Roman"/>
          <w:sz w:val="28"/>
          <w:szCs w:val="28"/>
        </w:rPr>
        <w:t>урсово</w:t>
      </w:r>
      <w:r>
        <w:rPr>
          <w:rFonts w:ascii="Times New Roman" w:hAnsi="Times New Roman" w:cs="Times New Roman"/>
          <w:sz w:val="28"/>
          <w:szCs w:val="28"/>
        </w:rPr>
        <w:t>е</w:t>
      </w:r>
      <w:r w:rsidRPr="00FA68D7">
        <w:rPr>
          <w:rFonts w:ascii="Times New Roman" w:hAnsi="Times New Roman" w:cs="Times New Roman"/>
          <w:sz w:val="28"/>
          <w:szCs w:val="28"/>
        </w:rPr>
        <w:t xml:space="preserve"> лечени</w:t>
      </w:r>
      <w:r>
        <w:rPr>
          <w:rFonts w:ascii="Times New Roman" w:hAnsi="Times New Roman" w:cs="Times New Roman"/>
          <w:sz w:val="28"/>
          <w:szCs w:val="28"/>
        </w:rPr>
        <w:t>е</w:t>
      </w:r>
      <w:r w:rsidRPr="00FA68D7">
        <w:rPr>
          <w:rFonts w:ascii="Times New Roman" w:hAnsi="Times New Roman" w:cs="Times New Roman"/>
          <w:sz w:val="28"/>
          <w:szCs w:val="28"/>
        </w:rPr>
        <w:t xml:space="preserve"> пациентов с органической эректильной дисфункцией </w:t>
      </w:r>
      <w:r>
        <w:rPr>
          <w:rFonts w:ascii="Times New Roman" w:hAnsi="Times New Roman" w:cs="Times New Roman"/>
          <w:sz w:val="28"/>
          <w:szCs w:val="28"/>
        </w:rPr>
        <w:t xml:space="preserve">с применением </w:t>
      </w:r>
      <w:r w:rsidRPr="00FA68D7">
        <w:rPr>
          <w:rFonts w:ascii="Times New Roman" w:hAnsi="Times New Roman" w:cs="Times New Roman"/>
          <w:sz w:val="28"/>
          <w:szCs w:val="28"/>
        </w:rPr>
        <w:t>аппарат</w:t>
      </w:r>
      <w:r>
        <w:rPr>
          <w:rFonts w:ascii="Times New Roman" w:hAnsi="Times New Roman" w:cs="Times New Roman"/>
          <w:sz w:val="28"/>
          <w:szCs w:val="28"/>
        </w:rPr>
        <w:t>а</w:t>
      </w:r>
      <w:r w:rsidRPr="00FA68D7">
        <w:rPr>
          <w:rFonts w:ascii="Times New Roman" w:hAnsi="Times New Roman" w:cs="Times New Roman"/>
          <w:sz w:val="28"/>
          <w:szCs w:val="28"/>
        </w:rPr>
        <w:t xml:space="preserve"> непрерывной емкостной резистивной </w:t>
      </w:r>
      <w:proofErr w:type="spellStart"/>
      <w:r w:rsidRPr="00FA68D7">
        <w:rPr>
          <w:rFonts w:ascii="Times New Roman" w:hAnsi="Times New Roman" w:cs="Times New Roman"/>
          <w:sz w:val="28"/>
          <w:szCs w:val="28"/>
        </w:rPr>
        <w:t>монополярной</w:t>
      </w:r>
      <w:proofErr w:type="spellEnd"/>
      <w:r w:rsidRPr="00FA68D7">
        <w:rPr>
          <w:rFonts w:ascii="Times New Roman" w:hAnsi="Times New Roman" w:cs="Times New Roman"/>
          <w:sz w:val="28"/>
          <w:szCs w:val="28"/>
        </w:rPr>
        <w:t xml:space="preserve"> электротерапии с радиочастотой 448 кГц </w:t>
      </w:r>
      <w:r>
        <w:rPr>
          <w:rFonts w:ascii="Times New Roman" w:hAnsi="Times New Roman" w:cs="Times New Roman"/>
          <w:sz w:val="28"/>
          <w:szCs w:val="28"/>
        </w:rPr>
        <w:t>является безопасной методикой в пуле современных неинвазивных методов лечения эректильной дисфункции</w:t>
      </w:r>
      <w:r w:rsidRPr="00FA68D7">
        <w:rPr>
          <w:rFonts w:ascii="Times New Roman" w:hAnsi="Times New Roman" w:cs="Times New Roman"/>
          <w:sz w:val="28"/>
          <w:szCs w:val="28"/>
        </w:rPr>
        <w:t>.</w:t>
      </w:r>
    </w:p>
    <w:p w:rsidR="00CF5923" w:rsidRPr="00FA68D7" w:rsidRDefault="00CF5923" w:rsidP="005146FA">
      <w:pPr>
        <w:numPr>
          <w:ilvl w:val="0"/>
          <w:numId w:val="2"/>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Предварительная оценка эректильной дисфункции</w:t>
      </w:r>
      <w:r w:rsidR="00F33505">
        <w:rPr>
          <w:rFonts w:ascii="Times New Roman" w:hAnsi="Times New Roman" w:cs="Times New Roman"/>
          <w:sz w:val="28"/>
          <w:szCs w:val="28"/>
        </w:rPr>
        <w:t>,</w:t>
      </w:r>
      <w:r>
        <w:rPr>
          <w:rFonts w:ascii="Times New Roman" w:hAnsi="Times New Roman" w:cs="Times New Roman"/>
          <w:sz w:val="28"/>
          <w:szCs w:val="28"/>
        </w:rPr>
        <w:t xml:space="preserve"> при помощи ультразвукового исследования полового члена с фармакологической </w:t>
      </w:r>
      <w:proofErr w:type="gramStart"/>
      <w:r>
        <w:rPr>
          <w:rFonts w:ascii="Times New Roman" w:hAnsi="Times New Roman" w:cs="Times New Roman"/>
          <w:sz w:val="28"/>
          <w:szCs w:val="28"/>
        </w:rPr>
        <w:t xml:space="preserve">пробой </w:t>
      </w:r>
      <w:r w:rsidRPr="00FA68D7">
        <w:rPr>
          <w:rFonts w:ascii="Times New Roman" w:hAnsi="Times New Roman" w:cs="Times New Roman"/>
          <w:sz w:val="28"/>
          <w:szCs w:val="28"/>
        </w:rPr>
        <w:t xml:space="preserve"> </w:t>
      </w:r>
      <w:r w:rsidR="00EF6834">
        <w:rPr>
          <w:rFonts w:ascii="Times New Roman" w:hAnsi="Times New Roman" w:cs="Times New Roman"/>
          <w:sz w:val="28"/>
          <w:szCs w:val="28"/>
        </w:rPr>
        <w:t>с</w:t>
      </w:r>
      <w:proofErr w:type="gramEnd"/>
      <w:r w:rsidR="00EF6834">
        <w:rPr>
          <w:rFonts w:ascii="Times New Roman" w:hAnsi="Times New Roman" w:cs="Times New Roman"/>
          <w:sz w:val="28"/>
          <w:szCs w:val="28"/>
        </w:rPr>
        <w:t xml:space="preserve"> применением</w:t>
      </w:r>
      <w:r w:rsidRPr="00FA68D7">
        <w:rPr>
          <w:rFonts w:ascii="Times New Roman" w:hAnsi="Times New Roman" w:cs="Times New Roman"/>
          <w:sz w:val="28"/>
          <w:szCs w:val="28"/>
        </w:rPr>
        <w:t xml:space="preserve"> </w:t>
      </w:r>
      <w:proofErr w:type="spellStart"/>
      <w:r w:rsidR="00F33505">
        <w:rPr>
          <w:rFonts w:ascii="Times New Roman" w:hAnsi="Times New Roman" w:cs="Times New Roman"/>
          <w:sz w:val="28"/>
          <w:szCs w:val="28"/>
        </w:rPr>
        <w:t>алпростадила</w:t>
      </w:r>
      <w:proofErr w:type="spellEnd"/>
      <w:r w:rsidR="00F33505">
        <w:rPr>
          <w:rFonts w:ascii="Times New Roman" w:hAnsi="Times New Roman" w:cs="Times New Roman"/>
          <w:sz w:val="28"/>
          <w:szCs w:val="28"/>
        </w:rPr>
        <w:t xml:space="preserve"> является необходимой перед лечением </w:t>
      </w:r>
      <w:r w:rsidRPr="00FA68D7">
        <w:rPr>
          <w:rFonts w:ascii="Times New Roman" w:hAnsi="Times New Roman" w:cs="Times New Roman"/>
          <w:sz w:val="28"/>
          <w:szCs w:val="28"/>
        </w:rPr>
        <w:t xml:space="preserve">непрерывной емкостной резистивной </w:t>
      </w:r>
      <w:proofErr w:type="spellStart"/>
      <w:r w:rsidRPr="00FA68D7">
        <w:rPr>
          <w:rFonts w:ascii="Times New Roman" w:hAnsi="Times New Roman" w:cs="Times New Roman"/>
          <w:sz w:val="28"/>
          <w:szCs w:val="28"/>
        </w:rPr>
        <w:t>монополярной</w:t>
      </w:r>
      <w:proofErr w:type="spellEnd"/>
      <w:r w:rsidRPr="00FA68D7">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p>
    <w:p w:rsidR="00CF5923" w:rsidRPr="00FA68D7" w:rsidRDefault="00F33505" w:rsidP="005146FA">
      <w:pPr>
        <w:numPr>
          <w:ilvl w:val="0"/>
          <w:numId w:val="2"/>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Применение </w:t>
      </w:r>
      <w:r w:rsidRPr="00FA68D7">
        <w:rPr>
          <w:rFonts w:ascii="Times New Roman" w:hAnsi="Times New Roman" w:cs="Times New Roman"/>
          <w:sz w:val="28"/>
          <w:szCs w:val="28"/>
        </w:rPr>
        <w:t xml:space="preserve">емкостной резистивной </w:t>
      </w:r>
      <w:proofErr w:type="spellStart"/>
      <w:r w:rsidRPr="00FA68D7">
        <w:rPr>
          <w:rFonts w:ascii="Times New Roman" w:hAnsi="Times New Roman" w:cs="Times New Roman"/>
          <w:sz w:val="28"/>
          <w:szCs w:val="28"/>
        </w:rPr>
        <w:t>монополярной</w:t>
      </w:r>
      <w:proofErr w:type="spellEnd"/>
      <w:r w:rsidRPr="00FA68D7">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 </w:t>
      </w:r>
      <w:r>
        <w:rPr>
          <w:rFonts w:ascii="Times New Roman" w:hAnsi="Times New Roman" w:cs="Times New Roman"/>
          <w:sz w:val="28"/>
          <w:szCs w:val="28"/>
        </w:rPr>
        <w:t xml:space="preserve">не вызывает никаких местных или системных </w:t>
      </w:r>
      <w:r w:rsidR="00CF5923" w:rsidRPr="00FA68D7">
        <w:rPr>
          <w:rFonts w:ascii="Times New Roman" w:hAnsi="Times New Roman" w:cs="Times New Roman"/>
          <w:sz w:val="28"/>
          <w:szCs w:val="28"/>
        </w:rPr>
        <w:t>нежелательных явлений и осложнени</w:t>
      </w:r>
      <w:r>
        <w:rPr>
          <w:rFonts w:ascii="Times New Roman" w:hAnsi="Times New Roman" w:cs="Times New Roman"/>
          <w:sz w:val="28"/>
          <w:szCs w:val="28"/>
        </w:rPr>
        <w:t>й у пациентов.</w:t>
      </w:r>
    </w:p>
    <w:p w:rsidR="00F33505" w:rsidRDefault="00F33505" w:rsidP="005146FA">
      <w:pPr>
        <w:numPr>
          <w:ilvl w:val="0"/>
          <w:numId w:val="2"/>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Применение </w:t>
      </w:r>
      <w:r w:rsidRPr="00FA68D7">
        <w:rPr>
          <w:rFonts w:ascii="Times New Roman" w:hAnsi="Times New Roman" w:cs="Times New Roman"/>
          <w:sz w:val="28"/>
          <w:szCs w:val="28"/>
        </w:rPr>
        <w:t xml:space="preserve">емкостной резистивной </w:t>
      </w:r>
      <w:proofErr w:type="spellStart"/>
      <w:r w:rsidRPr="00FA68D7">
        <w:rPr>
          <w:rFonts w:ascii="Times New Roman" w:hAnsi="Times New Roman" w:cs="Times New Roman"/>
          <w:sz w:val="28"/>
          <w:szCs w:val="28"/>
        </w:rPr>
        <w:t>монополярной</w:t>
      </w:r>
      <w:proofErr w:type="spellEnd"/>
      <w:r w:rsidRPr="00FA68D7">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r>
        <w:rPr>
          <w:rFonts w:ascii="Times New Roman" w:hAnsi="Times New Roman" w:cs="Times New Roman"/>
          <w:sz w:val="28"/>
          <w:szCs w:val="28"/>
        </w:rPr>
        <w:t xml:space="preserve"> рекомендована в большей степени для пациентов с лёгкой и средней степенью эректильной дисфункции и в меньшей степени с тяжелой степенью эректильной дисфункции.</w:t>
      </w:r>
    </w:p>
    <w:p w:rsidR="00CF5923" w:rsidRDefault="00F33505" w:rsidP="005146FA">
      <w:pPr>
        <w:numPr>
          <w:ilvl w:val="0"/>
          <w:numId w:val="2"/>
        </w:numPr>
        <w:spacing w:after="0" w:line="360" w:lineRule="auto"/>
        <w:contextualSpacing/>
        <w:jc w:val="both"/>
        <w:rPr>
          <w:rFonts w:ascii="Times New Roman" w:hAnsi="Times New Roman" w:cs="Times New Roman"/>
          <w:sz w:val="28"/>
          <w:szCs w:val="28"/>
        </w:rPr>
      </w:pPr>
      <w:r w:rsidRPr="00FA68D7">
        <w:rPr>
          <w:rFonts w:ascii="Times New Roman" w:hAnsi="Times New Roman" w:cs="Times New Roman"/>
          <w:sz w:val="28"/>
          <w:szCs w:val="28"/>
        </w:rPr>
        <w:t xml:space="preserve"> </w:t>
      </w:r>
      <w:r>
        <w:rPr>
          <w:rFonts w:ascii="Times New Roman" w:hAnsi="Times New Roman" w:cs="Times New Roman"/>
          <w:sz w:val="28"/>
          <w:szCs w:val="28"/>
        </w:rPr>
        <w:t>П</w:t>
      </w:r>
      <w:r w:rsidR="00CF5923" w:rsidRPr="00FA68D7">
        <w:rPr>
          <w:rFonts w:ascii="Times New Roman" w:hAnsi="Times New Roman" w:cs="Times New Roman"/>
          <w:sz w:val="28"/>
          <w:szCs w:val="28"/>
        </w:rPr>
        <w:t xml:space="preserve">рименения непрерывной емкостной резистивной </w:t>
      </w:r>
      <w:proofErr w:type="spellStart"/>
      <w:r w:rsidR="00CF5923" w:rsidRPr="00FA68D7">
        <w:rPr>
          <w:rFonts w:ascii="Times New Roman" w:hAnsi="Times New Roman" w:cs="Times New Roman"/>
          <w:sz w:val="28"/>
          <w:szCs w:val="28"/>
        </w:rPr>
        <w:t>монополярной</w:t>
      </w:r>
      <w:proofErr w:type="spellEnd"/>
      <w:r w:rsidR="00CF5923" w:rsidRPr="00FA68D7">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r>
        <w:rPr>
          <w:rFonts w:ascii="Times New Roman" w:hAnsi="Times New Roman" w:cs="Times New Roman"/>
          <w:sz w:val="28"/>
          <w:szCs w:val="28"/>
        </w:rPr>
        <w:t xml:space="preserve"> должно проводит</w:t>
      </w:r>
      <w:r w:rsidR="005E0369">
        <w:rPr>
          <w:rFonts w:ascii="Times New Roman" w:hAnsi="Times New Roman" w:cs="Times New Roman"/>
          <w:sz w:val="28"/>
          <w:szCs w:val="28"/>
        </w:rPr>
        <w:t>ь</w:t>
      </w:r>
      <w:r>
        <w:rPr>
          <w:rFonts w:ascii="Times New Roman" w:hAnsi="Times New Roman" w:cs="Times New Roman"/>
          <w:sz w:val="28"/>
          <w:szCs w:val="28"/>
        </w:rPr>
        <w:t>ся согласно разработанной методике и систематически (с соблюдением сроков и временных интервалов)</w:t>
      </w:r>
      <w:r w:rsidR="00CF5923" w:rsidRPr="00FA68D7">
        <w:rPr>
          <w:rFonts w:ascii="Times New Roman" w:hAnsi="Times New Roman" w:cs="Times New Roman"/>
          <w:sz w:val="28"/>
          <w:szCs w:val="28"/>
        </w:rPr>
        <w:t>.</w:t>
      </w:r>
    </w:p>
    <w:p w:rsidR="005E0369" w:rsidRDefault="005E0369" w:rsidP="005E0369">
      <w:pPr>
        <w:spacing w:after="0" w:line="360" w:lineRule="auto"/>
        <w:ind w:left="153"/>
        <w:contextualSpacing/>
        <w:jc w:val="both"/>
        <w:rPr>
          <w:rFonts w:ascii="Times New Roman" w:hAnsi="Times New Roman" w:cs="Times New Roman"/>
          <w:sz w:val="28"/>
          <w:szCs w:val="28"/>
        </w:rPr>
      </w:pPr>
    </w:p>
    <w:p w:rsidR="00F05D6F" w:rsidRPr="00FA68D7" w:rsidRDefault="00231D58" w:rsidP="005146FA">
      <w:pPr>
        <w:pStyle w:val="a4"/>
        <w:spacing w:line="360" w:lineRule="auto"/>
        <w:ind w:left="-567" w:right="-1"/>
        <w:jc w:val="both"/>
        <w:rPr>
          <w:rFonts w:ascii="Times New Roman" w:hAnsi="Times New Roman" w:cs="Times New Roman"/>
          <w:b/>
          <w:sz w:val="28"/>
          <w:szCs w:val="28"/>
        </w:rPr>
      </w:pPr>
      <w:r w:rsidRPr="00FA68D7">
        <w:rPr>
          <w:rFonts w:ascii="Times New Roman" w:hAnsi="Times New Roman" w:cs="Times New Roman"/>
          <w:b/>
          <w:sz w:val="28"/>
          <w:szCs w:val="28"/>
        </w:rPr>
        <w:t>Практические рекомендации</w:t>
      </w:r>
    </w:p>
    <w:p w:rsidR="00BB09B0" w:rsidRDefault="00231D58" w:rsidP="005146FA">
      <w:pPr>
        <w:pStyle w:val="a4"/>
        <w:tabs>
          <w:tab w:val="left" w:pos="7075"/>
        </w:tabs>
        <w:spacing w:line="360" w:lineRule="auto"/>
        <w:ind w:left="-567" w:right="-1" w:firstLine="567"/>
        <w:jc w:val="both"/>
        <w:rPr>
          <w:rFonts w:ascii="Times New Roman" w:hAnsi="Times New Roman" w:cs="Times New Roman"/>
          <w:sz w:val="28"/>
          <w:szCs w:val="28"/>
        </w:rPr>
      </w:pPr>
      <w:r w:rsidRPr="00FA68D7">
        <w:rPr>
          <w:rFonts w:ascii="Times New Roman" w:hAnsi="Times New Roman" w:cs="Times New Roman"/>
          <w:sz w:val="28"/>
          <w:szCs w:val="28"/>
        </w:rPr>
        <w:t>Результаты</w:t>
      </w:r>
      <w:r w:rsidR="00F33505">
        <w:rPr>
          <w:rFonts w:ascii="Times New Roman" w:hAnsi="Times New Roman" w:cs="Times New Roman"/>
          <w:sz w:val="28"/>
          <w:szCs w:val="28"/>
        </w:rPr>
        <w:t xml:space="preserve"> проведенного</w:t>
      </w:r>
      <w:r w:rsidRPr="00FA68D7">
        <w:rPr>
          <w:rFonts w:ascii="Times New Roman" w:hAnsi="Times New Roman" w:cs="Times New Roman"/>
          <w:sz w:val="28"/>
          <w:szCs w:val="28"/>
        </w:rPr>
        <w:t xml:space="preserve"> </w:t>
      </w:r>
      <w:r w:rsidR="00FF7172" w:rsidRPr="00FA68D7">
        <w:rPr>
          <w:rFonts w:ascii="Times New Roman" w:hAnsi="Times New Roman" w:cs="Times New Roman"/>
          <w:sz w:val="28"/>
          <w:szCs w:val="28"/>
        </w:rPr>
        <w:t>исследования</w:t>
      </w:r>
      <w:r w:rsidR="00AC46BF" w:rsidRPr="00FA68D7">
        <w:rPr>
          <w:rFonts w:ascii="Times New Roman" w:hAnsi="Times New Roman" w:cs="Times New Roman"/>
          <w:sz w:val="28"/>
          <w:szCs w:val="28"/>
        </w:rPr>
        <w:t xml:space="preserve"> </w:t>
      </w:r>
      <w:r w:rsidRPr="00FA68D7">
        <w:rPr>
          <w:rFonts w:ascii="Times New Roman" w:hAnsi="Times New Roman" w:cs="Times New Roman"/>
          <w:sz w:val="28"/>
          <w:szCs w:val="28"/>
        </w:rPr>
        <w:t xml:space="preserve">позволяют </w:t>
      </w:r>
      <w:r w:rsidR="00F33505">
        <w:rPr>
          <w:rFonts w:ascii="Times New Roman" w:hAnsi="Times New Roman" w:cs="Times New Roman"/>
          <w:sz w:val="28"/>
          <w:szCs w:val="28"/>
        </w:rPr>
        <w:t>утверждать об эффективном и безопасном применени</w:t>
      </w:r>
      <w:r w:rsidR="005E0369">
        <w:rPr>
          <w:rFonts w:ascii="Times New Roman" w:hAnsi="Times New Roman" w:cs="Times New Roman"/>
          <w:sz w:val="28"/>
          <w:szCs w:val="28"/>
        </w:rPr>
        <w:t>и</w:t>
      </w:r>
      <w:r w:rsidR="00A44F16">
        <w:rPr>
          <w:rFonts w:ascii="Times New Roman" w:hAnsi="Times New Roman" w:cs="Times New Roman"/>
          <w:sz w:val="28"/>
          <w:szCs w:val="28"/>
        </w:rPr>
        <w:t xml:space="preserve"> </w:t>
      </w:r>
      <w:r w:rsidR="00A44F16" w:rsidRPr="00FA68D7">
        <w:rPr>
          <w:rFonts w:ascii="Times New Roman" w:hAnsi="Times New Roman" w:cs="Times New Roman"/>
          <w:sz w:val="28"/>
          <w:szCs w:val="28"/>
        </w:rPr>
        <w:t xml:space="preserve">емкостной резистивной </w:t>
      </w:r>
      <w:proofErr w:type="spellStart"/>
      <w:r w:rsidR="00A44F16" w:rsidRPr="00FA68D7">
        <w:rPr>
          <w:rFonts w:ascii="Times New Roman" w:hAnsi="Times New Roman" w:cs="Times New Roman"/>
          <w:sz w:val="28"/>
          <w:szCs w:val="28"/>
        </w:rPr>
        <w:t>монополярной</w:t>
      </w:r>
      <w:proofErr w:type="spellEnd"/>
      <w:r w:rsidR="00A44F16" w:rsidRPr="00FA68D7">
        <w:rPr>
          <w:rFonts w:ascii="Times New Roman" w:hAnsi="Times New Roman" w:cs="Times New Roman"/>
          <w:sz w:val="28"/>
          <w:szCs w:val="28"/>
        </w:rPr>
        <w:t xml:space="preserve"> электротерапии с радиочастотой 448 кГц в лечении пациентов с органической эректильной дисфункцией</w:t>
      </w:r>
      <w:r w:rsidRPr="00FA68D7">
        <w:rPr>
          <w:rFonts w:ascii="Times New Roman" w:hAnsi="Times New Roman" w:cs="Times New Roman"/>
          <w:sz w:val="28"/>
          <w:szCs w:val="28"/>
        </w:rPr>
        <w:t xml:space="preserve">. </w:t>
      </w:r>
      <w:r w:rsidR="00696CAB">
        <w:rPr>
          <w:rFonts w:ascii="Times New Roman" w:hAnsi="Times New Roman" w:cs="Times New Roman"/>
          <w:sz w:val="28"/>
          <w:szCs w:val="28"/>
        </w:rPr>
        <w:t>Полученные результаты исследования и р</w:t>
      </w:r>
      <w:r w:rsidRPr="00FA68D7">
        <w:rPr>
          <w:rFonts w:ascii="Times New Roman" w:hAnsi="Times New Roman" w:cs="Times New Roman"/>
          <w:sz w:val="28"/>
          <w:szCs w:val="28"/>
        </w:rPr>
        <w:t>а</w:t>
      </w:r>
      <w:r w:rsidR="00A44F16">
        <w:rPr>
          <w:rFonts w:ascii="Times New Roman" w:hAnsi="Times New Roman" w:cs="Times New Roman"/>
          <w:sz w:val="28"/>
          <w:szCs w:val="28"/>
        </w:rPr>
        <w:t>зработанн</w:t>
      </w:r>
      <w:r w:rsidR="00696CAB">
        <w:rPr>
          <w:rFonts w:ascii="Times New Roman" w:hAnsi="Times New Roman" w:cs="Times New Roman"/>
          <w:sz w:val="28"/>
          <w:szCs w:val="28"/>
        </w:rPr>
        <w:t>ую</w:t>
      </w:r>
      <w:r w:rsidR="00A44F16">
        <w:rPr>
          <w:rFonts w:ascii="Times New Roman" w:hAnsi="Times New Roman" w:cs="Times New Roman"/>
          <w:sz w:val="28"/>
          <w:szCs w:val="28"/>
        </w:rPr>
        <w:t xml:space="preserve"> в ходе исследования </w:t>
      </w:r>
      <w:r w:rsidR="00696CAB">
        <w:rPr>
          <w:rFonts w:ascii="Times New Roman" w:hAnsi="Times New Roman" w:cs="Times New Roman"/>
          <w:sz w:val="28"/>
          <w:szCs w:val="28"/>
        </w:rPr>
        <w:t>методику лечения пациентов с органической эректильной дисфункцией, возможно использовать как в учебном процессе</w:t>
      </w:r>
      <w:r w:rsidR="005E0369">
        <w:rPr>
          <w:rFonts w:ascii="Times New Roman" w:hAnsi="Times New Roman" w:cs="Times New Roman"/>
          <w:sz w:val="28"/>
          <w:szCs w:val="28"/>
        </w:rPr>
        <w:t>,</w:t>
      </w:r>
      <w:r w:rsidR="00696CAB">
        <w:rPr>
          <w:rFonts w:ascii="Times New Roman" w:hAnsi="Times New Roman" w:cs="Times New Roman"/>
          <w:sz w:val="28"/>
          <w:szCs w:val="28"/>
        </w:rPr>
        <w:t xml:space="preserve"> так и в практической медицине. </w:t>
      </w:r>
      <w:r w:rsidR="005E0369">
        <w:rPr>
          <w:rFonts w:ascii="Times New Roman" w:hAnsi="Times New Roman" w:cs="Times New Roman"/>
          <w:sz w:val="28"/>
          <w:szCs w:val="28"/>
        </w:rPr>
        <w:t>Особо важным представляется</w:t>
      </w:r>
      <w:r w:rsidR="00180CF2" w:rsidRPr="00FA68D7">
        <w:rPr>
          <w:rFonts w:ascii="Times New Roman" w:hAnsi="Times New Roman" w:cs="Times New Roman"/>
          <w:sz w:val="28"/>
          <w:szCs w:val="28"/>
        </w:rPr>
        <w:t xml:space="preserve"> </w:t>
      </w:r>
      <w:r w:rsidR="005E0369">
        <w:rPr>
          <w:rFonts w:ascii="Times New Roman" w:hAnsi="Times New Roman" w:cs="Times New Roman"/>
          <w:sz w:val="28"/>
          <w:szCs w:val="28"/>
        </w:rPr>
        <w:t>разработанный</w:t>
      </w:r>
      <w:r w:rsidR="00180CF2" w:rsidRPr="00FA68D7">
        <w:rPr>
          <w:rFonts w:ascii="Times New Roman" w:hAnsi="Times New Roman" w:cs="Times New Roman"/>
          <w:sz w:val="28"/>
          <w:szCs w:val="28"/>
        </w:rPr>
        <w:t xml:space="preserve"> авто</w:t>
      </w:r>
      <w:r w:rsidR="00CF52AD" w:rsidRPr="00FA68D7">
        <w:rPr>
          <w:rFonts w:ascii="Times New Roman" w:hAnsi="Times New Roman" w:cs="Times New Roman"/>
          <w:sz w:val="28"/>
          <w:szCs w:val="28"/>
        </w:rPr>
        <w:t xml:space="preserve">ром </w:t>
      </w:r>
      <w:r w:rsidR="00696CAB">
        <w:rPr>
          <w:rFonts w:ascii="Times New Roman" w:hAnsi="Times New Roman" w:cs="Times New Roman"/>
          <w:sz w:val="28"/>
          <w:szCs w:val="28"/>
        </w:rPr>
        <w:t>протокол</w:t>
      </w:r>
      <w:r w:rsidR="005E0369">
        <w:rPr>
          <w:rFonts w:ascii="Times New Roman" w:hAnsi="Times New Roman" w:cs="Times New Roman"/>
          <w:sz w:val="28"/>
          <w:szCs w:val="28"/>
        </w:rPr>
        <w:t xml:space="preserve"> и обозначенные особенности</w:t>
      </w:r>
      <w:r w:rsidR="00696CAB">
        <w:rPr>
          <w:rFonts w:ascii="Times New Roman" w:hAnsi="Times New Roman" w:cs="Times New Roman"/>
          <w:sz w:val="28"/>
          <w:szCs w:val="28"/>
        </w:rPr>
        <w:t xml:space="preserve"> проведения процедуры</w:t>
      </w:r>
      <w:r w:rsidR="00180CF2" w:rsidRPr="00FA68D7">
        <w:rPr>
          <w:rFonts w:ascii="Times New Roman" w:hAnsi="Times New Roman" w:cs="Times New Roman"/>
          <w:sz w:val="28"/>
          <w:szCs w:val="28"/>
        </w:rPr>
        <w:t xml:space="preserve">, что позволит </w:t>
      </w:r>
      <w:r w:rsidR="00180CF2" w:rsidRPr="00FA68D7">
        <w:rPr>
          <w:rFonts w:ascii="Times New Roman" w:hAnsi="Times New Roman" w:cs="Times New Roman"/>
          <w:sz w:val="28"/>
          <w:szCs w:val="28"/>
        </w:rPr>
        <w:lastRenderedPageBreak/>
        <w:t xml:space="preserve">расширить </w:t>
      </w:r>
      <w:r w:rsidR="00696CAB">
        <w:rPr>
          <w:rFonts w:ascii="Times New Roman" w:hAnsi="Times New Roman" w:cs="Times New Roman"/>
          <w:sz w:val="28"/>
          <w:szCs w:val="28"/>
        </w:rPr>
        <w:t>настоящий спектр возможных методик лечения органической эректильной дисфункции</w:t>
      </w:r>
      <w:r w:rsidR="00180CF2" w:rsidRPr="00FA68D7">
        <w:rPr>
          <w:rFonts w:ascii="Times New Roman" w:hAnsi="Times New Roman" w:cs="Times New Roman"/>
          <w:sz w:val="28"/>
          <w:szCs w:val="28"/>
        </w:rPr>
        <w:t xml:space="preserve">. </w:t>
      </w:r>
    </w:p>
    <w:p w:rsidR="005E0369" w:rsidRPr="00FA68D7" w:rsidRDefault="005E0369" w:rsidP="005146FA">
      <w:pPr>
        <w:pStyle w:val="a4"/>
        <w:tabs>
          <w:tab w:val="left" w:pos="7075"/>
        </w:tabs>
        <w:spacing w:line="360" w:lineRule="auto"/>
        <w:ind w:left="-567" w:right="-1" w:firstLine="567"/>
        <w:jc w:val="both"/>
        <w:rPr>
          <w:rFonts w:ascii="Times New Roman" w:hAnsi="Times New Roman" w:cs="Times New Roman"/>
          <w:sz w:val="28"/>
          <w:szCs w:val="28"/>
        </w:rPr>
      </w:pPr>
    </w:p>
    <w:p w:rsidR="00F05D6F" w:rsidRPr="00FA68D7" w:rsidRDefault="00F05D6F" w:rsidP="005146FA">
      <w:pPr>
        <w:pStyle w:val="a4"/>
        <w:tabs>
          <w:tab w:val="left" w:pos="7075"/>
        </w:tabs>
        <w:spacing w:line="360" w:lineRule="auto"/>
        <w:ind w:left="-567"/>
        <w:jc w:val="both"/>
        <w:rPr>
          <w:rFonts w:ascii="Times New Roman" w:hAnsi="Times New Roman" w:cs="Times New Roman"/>
          <w:b/>
          <w:sz w:val="28"/>
          <w:szCs w:val="28"/>
        </w:rPr>
      </w:pPr>
      <w:r w:rsidRPr="00FA68D7">
        <w:rPr>
          <w:rFonts w:ascii="Times New Roman" w:hAnsi="Times New Roman" w:cs="Times New Roman"/>
          <w:b/>
          <w:sz w:val="28"/>
          <w:szCs w:val="28"/>
        </w:rPr>
        <w:t>Перспективы дальнейшей разработки темы</w:t>
      </w:r>
    </w:p>
    <w:p w:rsidR="007547E5" w:rsidRPr="00FA68D7" w:rsidRDefault="00F05D6F" w:rsidP="005146FA">
      <w:pPr>
        <w:pStyle w:val="a4"/>
        <w:tabs>
          <w:tab w:val="left" w:pos="7075"/>
        </w:tabs>
        <w:spacing w:line="360" w:lineRule="auto"/>
        <w:ind w:left="-567" w:firstLine="567"/>
        <w:jc w:val="both"/>
        <w:rPr>
          <w:rFonts w:ascii="Times New Roman" w:hAnsi="Times New Roman" w:cs="Times New Roman"/>
          <w:b/>
          <w:sz w:val="28"/>
          <w:szCs w:val="28"/>
        </w:rPr>
      </w:pPr>
      <w:r w:rsidRPr="00FA68D7">
        <w:rPr>
          <w:rFonts w:ascii="Times New Roman" w:hAnsi="Times New Roman" w:cs="Times New Roman"/>
          <w:sz w:val="28"/>
          <w:szCs w:val="28"/>
        </w:rPr>
        <w:t>Проведен</w:t>
      </w:r>
      <w:r w:rsidR="00696CAB">
        <w:rPr>
          <w:rFonts w:ascii="Times New Roman" w:hAnsi="Times New Roman" w:cs="Times New Roman"/>
          <w:sz w:val="28"/>
          <w:szCs w:val="28"/>
        </w:rPr>
        <w:t>ное</w:t>
      </w:r>
      <w:r w:rsidRPr="00FA68D7">
        <w:rPr>
          <w:rFonts w:ascii="Times New Roman" w:hAnsi="Times New Roman" w:cs="Times New Roman"/>
          <w:sz w:val="28"/>
          <w:szCs w:val="28"/>
        </w:rPr>
        <w:t xml:space="preserve"> исследовани</w:t>
      </w:r>
      <w:r w:rsidR="00696CAB">
        <w:rPr>
          <w:rFonts w:ascii="Times New Roman" w:hAnsi="Times New Roman" w:cs="Times New Roman"/>
          <w:sz w:val="28"/>
          <w:szCs w:val="28"/>
        </w:rPr>
        <w:t>е</w:t>
      </w:r>
      <w:r w:rsidRPr="00FA68D7">
        <w:rPr>
          <w:rFonts w:ascii="Times New Roman" w:hAnsi="Times New Roman" w:cs="Times New Roman"/>
          <w:sz w:val="28"/>
          <w:szCs w:val="28"/>
        </w:rPr>
        <w:t xml:space="preserve"> мо</w:t>
      </w:r>
      <w:r w:rsidR="00696CAB">
        <w:rPr>
          <w:rFonts w:ascii="Times New Roman" w:hAnsi="Times New Roman" w:cs="Times New Roman"/>
          <w:sz w:val="28"/>
          <w:szCs w:val="28"/>
        </w:rPr>
        <w:t>жет</w:t>
      </w:r>
      <w:r w:rsidRPr="00FA68D7">
        <w:rPr>
          <w:rFonts w:ascii="Times New Roman" w:hAnsi="Times New Roman" w:cs="Times New Roman"/>
          <w:sz w:val="28"/>
          <w:szCs w:val="28"/>
        </w:rPr>
        <w:t xml:space="preserve"> использоваться для последующего </w:t>
      </w:r>
      <w:r w:rsidR="00072ECE" w:rsidRPr="00FA68D7">
        <w:rPr>
          <w:rFonts w:ascii="Times New Roman" w:hAnsi="Times New Roman" w:cs="Times New Roman"/>
          <w:sz w:val="28"/>
          <w:szCs w:val="28"/>
        </w:rPr>
        <w:t xml:space="preserve">совершенствования </w:t>
      </w:r>
      <w:r w:rsidR="00696CAB">
        <w:rPr>
          <w:rFonts w:ascii="Times New Roman" w:hAnsi="Times New Roman" w:cs="Times New Roman"/>
          <w:sz w:val="28"/>
          <w:szCs w:val="28"/>
        </w:rPr>
        <w:t xml:space="preserve">практических </w:t>
      </w:r>
      <w:r w:rsidR="00072ECE" w:rsidRPr="00FA68D7">
        <w:rPr>
          <w:rFonts w:ascii="Times New Roman" w:hAnsi="Times New Roman" w:cs="Times New Roman"/>
          <w:sz w:val="28"/>
          <w:szCs w:val="28"/>
        </w:rPr>
        <w:t>методов</w:t>
      </w:r>
      <w:r w:rsidRPr="00FA68D7">
        <w:rPr>
          <w:rFonts w:ascii="Times New Roman" w:hAnsi="Times New Roman" w:cs="Times New Roman"/>
          <w:sz w:val="28"/>
          <w:szCs w:val="28"/>
        </w:rPr>
        <w:t xml:space="preserve"> </w:t>
      </w:r>
      <w:r w:rsidR="00696CAB">
        <w:rPr>
          <w:rFonts w:ascii="Times New Roman" w:hAnsi="Times New Roman" w:cs="Times New Roman"/>
          <w:sz w:val="28"/>
          <w:szCs w:val="28"/>
        </w:rPr>
        <w:t>лечения органической эректильной дисфункции</w:t>
      </w:r>
      <w:r w:rsidR="00FF7172" w:rsidRPr="00FA68D7">
        <w:rPr>
          <w:rFonts w:ascii="Times New Roman" w:hAnsi="Times New Roman" w:cs="Times New Roman"/>
          <w:sz w:val="28"/>
          <w:szCs w:val="28"/>
        </w:rPr>
        <w:t>.</w:t>
      </w:r>
      <w:r w:rsidR="00CF52AD" w:rsidRPr="00FA68D7">
        <w:rPr>
          <w:rFonts w:ascii="Times New Roman" w:hAnsi="Times New Roman" w:cs="Times New Roman"/>
          <w:b/>
          <w:sz w:val="28"/>
          <w:szCs w:val="28"/>
        </w:rPr>
        <w:t xml:space="preserve">  </w:t>
      </w: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E03C6E" w:rsidRDefault="00E03C6E"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696CAB" w:rsidRDefault="00696CAB" w:rsidP="005146FA">
      <w:pPr>
        <w:pStyle w:val="a4"/>
        <w:tabs>
          <w:tab w:val="left" w:pos="7075"/>
        </w:tabs>
        <w:spacing w:line="360" w:lineRule="auto"/>
        <w:ind w:left="-567" w:firstLine="567"/>
        <w:jc w:val="both"/>
        <w:rPr>
          <w:rFonts w:ascii="Times New Roman" w:hAnsi="Times New Roman" w:cs="Times New Roman"/>
          <w:b/>
          <w:sz w:val="28"/>
          <w:szCs w:val="28"/>
        </w:rPr>
      </w:pPr>
    </w:p>
    <w:p w:rsidR="00DD3890" w:rsidRPr="00FA68D7" w:rsidRDefault="009A2A8B" w:rsidP="005146FA">
      <w:pPr>
        <w:pStyle w:val="a4"/>
        <w:tabs>
          <w:tab w:val="left" w:pos="7075"/>
        </w:tabs>
        <w:spacing w:line="360" w:lineRule="auto"/>
        <w:ind w:left="-567" w:firstLine="567"/>
        <w:jc w:val="both"/>
        <w:rPr>
          <w:rFonts w:ascii="Times New Roman" w:hAnsi="Times New Roman" w:cs="Times New Roman"/>
          <w:b/>
          <w:sz w:val="28"/>
          <w:szCs w:val="28"/>
        </w:rPr>
      </w:pPr>
      <w:r w:rsidRPr="00FA68D7">
        <w:rPr>
          <w:rFonts w:ascii="Times New Roman" w:hAnsi="Times New Roman" w:cs="Times New Roman"/>
          <w:b/>
          <w:sz w:val="28"/>
          <w:szCs w:val="28"/>
        </w:rPr>
        <w:lastRenderedPageBreak/>
        <w:t xml:space="preserve">Список </w:t>
      </w:r>
      <w:r w:rsidR="00036896" w:rsidRPr="00FA68D7">
        <w:rPr>
          <w:rFonts w:ascii="Times New Roman" w:hAnsi="Times New Roman" w:cs="Times New Roman"/>
          <w:b/>
          <w:sz w:val="28"/>
          <w:szCs w:val="28"/>
        </w:rPr>
        <w:t>работ, опубликованных по теме диссертации</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Pr>
          <w:rFonts w:ascii="Times New Roman" w:hAnsi="Times New Roman" w:cs="Times New Roman"/>
          <w:sz w:val="28"/>
          <w:szCs w:val="28"/>
        </w:rPr>
        <w:fldChar w:fldCharType="begin" w:fldLock="1"/>
      </w:r>
      <w:r>
        <w:rPr>
          <w:rFonts w:ascii="Times New Roman" w:hAnsi="Times New Roman" w:cs="Times New Roman"/>
          <w:sz w:val="28"/>
          <w:szCs w:val="28"/>
        </w:rPr>
        <w:instrText xml:space="preserve">ADDIN Mendeley Bibliography CSL_BIBLIOGRAPHY </w:instrText>
      </w:r>
      <w:r>
        <w:rPr>
          <w:rFonts w:ascii="Times New Roman" w:hAnsi="Times New Roman" w:cs="Times New Roman"/>
          <w:sz w:val="28"/>
          <w:szCs w:val="28"/>
        </w:rPr>
        <w:fldChar w:fldCharType="separate"/>
      </w:r>
      <w:r w:rsidRPr="00347E31">
        <w:rPr>
          <w:rFonts w:ascii="Times New Roman" w:hAnsi="Times New Roman" w:cs="Times New Roman"/>
          <w:noProof/>
          <w:sz w:val="28"/>
          <w:szCs w:val="24"/>
        </w:rPr>
        <w:t>1.</w:t>
      </w:r>
      <w:r w:rsidRPr="00347E31">
        <w:rPr>
          <w:rFonts w:ascii="Times New Roman" w:hAnsi="Times New Roman" w:cs="Times New Roman"/>
          <w:noProof/>
          <w:sz w:val="28"/>
          <w:szCs w:val="24"/>
        </w:rPr>
        <w:tab/>
        <w:t xml:space="preserve">Эпидемиологическое исследование распространенности эректильной дисфункции в Российской Федерации | Пушкарь Д.Ю., Камалов А.А., Аль–Шукри С.Х., Еркович А.А., Коган М.И., Павлов В.Н., Журавлев В.Н., Берников А.Н. | «РМЖ» №3 от 07.02.2012 [Electronic resource]. </w:t>
      </w:r>
      <w:r w:rsidRPr="008849FA">
        <w:rPr>
          <w:rFonts w:ascii="Times New Roman" w:hAnsi="Times New Roman" w:cs="Times New Roman"/>
          <w:noProof/>
          <w:sz w:val="28"/>
          <w:szCs w:val="24"/>
          <w:lang w:val="en-US"/>
        </w:rPr>
        <w:t>URL: https://www.rmj.ru/articles/urologiya/Epidemiologicheskoe_issledovanie_rasprostranennosti_erektilynoy_disfunkcii_v_Rossiyskoy_Federacii/ (accessed: 03.04.2022).</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w:t>
      </w:r>
      <w:r w:rsidRPr="008849FA">
        <w:rPr>
          <w:rFonts w:ascii="Times New Roman" w:hAnsi="Times New Roman" w:cs="Times New Roman"/>
          <w:noProof/>
          <w:sz w:val="28"/>
          <w:szCs w:val="24"/>
          <w:lang w:val="en-US"/>
        </w:rPr>
        <w:tab/>
        <w:t>Impotence: NIH Consensus Development Panel on Impotence // JAMA J. Am. Med. Assoc. American Medical Association, 1993. Vol. 270, № 1. P. 83–90.</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3.</w:t>
      </w:r>
      <w:r w:rsidRPr="008849FA">
        <w:rPr>
          <w:rFonts w:ascii="Times New Roman" w:hAnsi="Times New Roman" w:cs="Times New Roman"/>
          <w:noProof/>
          <w:sz w:val="28"/>
          <w:szCs w:val="24"/>
          <w:lang w:val="en-US"/>
        </w:rPr>
        <w:tab/>
        <w:t>Korneyev I.A. et al. Prevalence and risk factors for erectile dysfunction and lower urinary tract symptoms in Russian Federation men: analysis from a national population-based multicenter study // Int. J. Impot. Res. Int J Impot Res, 2016. Vol. 28, № 2. P. 74–79.</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4.</w:t>
      </w:r>
      <w:r w:rsidRPr="008849FA">
        <w:rPr>
          <w:rFonts w:ascii="Times New Roman" w:hAnsi="Times New Roman" w:cs="Times New Roman"/>
          <w:noProof/>
          <w:sz w:val="28"/>
          <w:szCs w:val="24"/>
          <w:lang w:val="en-US"/>
        </w:rPr>
        <w:tab/>
      </w:r>
      <w:r w:rsidRPr="00347E31">
        <w:rPr>
          <w:rFonts w:ascii="Times New Roman" w:hAnsi="Times New Roman" w:cs="Times New Roman"/>
          <w:noProof/>
          <w:sz w:val="28"/>
          <w:szCs w:val="24"/>
        </w:rPr>
        <w:t>Али</w:t>
      </w:r>
      <w:r w:rsidRPr="008849FA">
        <w:rPr>
          <w:rFonts w:ascii="Times New Roman" w:hAnsi="Times New Roman" w:cs="Times New Roman"/>
          <w:noProof/>
          <w:sz w:val="28"/>
          <w:szCs w:val="24"/>
          <w:lang w:val="en-US"/>
        </w:rPr>
        <w:t xml:space="preserve"> </w:t>
      </w:r>
      <w:r w:rsidRPr="00347E31">
        <w:rPr>
          <w:rFonts w:ascii="Times New Roman" w:hAnsi="Times New Roman" w:cs="Times New Roman"/>
          <w:noProof/>
          <w:sz w:val="28"/>
          <w:szCs w:val="24"/>
        </w:rPr>
        <w:t>Х</w:t>
      </w:r>
      <w:r w:rsidRPr="008849FA">
        <w:rPr>
          <w:rFonts w:ascii="Times New Roman" w:hAnsi="Times New Roman" w:cs="Times New Roman"/>
          <w:noProof/>
          <w:sz w:val="28"/>
          <w:szCs w:val="24"/>
          <w:lang w:val="en-US"/>
        </w:rPr>
        <w:t>.</w:t>
      </w:r>
      <w:r w:rsidRPr="00347E31">
        <w:rPr>
          <w:rFonts w:ascii="Times New Roman" w:hAnsi="Times New Roman" w:cs="Times New Roman"/>
          <w:noProof/>
          <w:sz w:val="28"/>
          <w:szCs w:val="24"/>
        </w:rPr>
        <w:t>М</w:t>
      </w:r>
      <w:r w:rsidRPr="008849FA">
        <w:rPr>
          <w:rFonts w:ascii="Times New Roman" w:hAnsi="Times New Roman" w:cs="Times New Roman"/>
          <w:noProof/>
          <w:sz w:val="28"/>
          <w:szCs w:val="24"/>
          <w:lang w:val="en-US"/>
        </w:rPr>
        <w:t xml:space="preserve">., </w:t>
      </w:r>
      <w:r w:rsidRPr="00347E31">
        <w:rPr>
          <w:rFonts w:ascii="Times New Roman" w:hAnsi="Times New Roman" w:cs="Times New Roman"/>
          <w:noProof/>
          <w:sz w:val="28"/>
          <w:szCs w:val="24"/>
        </w:rPr>
        <w:t>Аляев</w:t>
      </w:r>
      <w:r w:rsidRPr="008849FA">
        <w:rPr>
          <w:rFonts w:ascii="Times New Roman" w:hAnsi="Times New Roman" w:cs="Times New Roman"/>
          <w:noProof/>
          <w:sz w:val="28"/>
          <w:szCs w:val="24"/>
          <w:lang w:val="en-US"/>
        </w:rPr>
        <w:t xml:space="preserve"> </w:t>
      </w:r>
      <w:r w:rsidRPr="00347E31">
        <w:rPr>
          <w:rFonts w:ascii="Times New Roman" w:hAnsi="Times New Roman" w:cs="Times New Roman"/>
          <w:noProof/>
          <w:sz w:val="28"/>
          <w:szCs w:val="24"/>
        </w:rPr>
        <w:t>Ю</w:t>
      </w:r>
      <w:r w:rsidRPr="008849FA">
        <w:rPr>
          <w:rFonts w:ascii="Times New Roman" w:hAnsi="Times New Roman" w:cs="Times New Roman"/>
          <w:noProof/>
          <w:sz w:val="28"/>
          <w:szCs w:val="24"/>
          <w:lang w:val="en-US"/>
        </w:rPr>
        <w:t>.</w:t>
      </w:r>
      <w:r w:rsidRPr="00347E31">
        <w:rPr>
          <w:rFonts w:ascii="Times New Roman" w:hAnsi="Times New Roman" w:cs="Times New Roman"/>
          <w:noProof/>
          <w:sz w:val="28"/>
          <w:szCs w:val="24"/>
        </w:rPr>
        <w:t>Г</w:t>
      </w:r>
      <w:r w:rsidRPr="008849FA">
        <w:rPr>
          <w:rFonts w:ascii="Times New Roman" w:hAnsi="Times New Roman" w:cs="Times New Roman"/>
          <w:noProof/>
          <w:sz w:val="28"/>
          <w:szCs w:val="24"/>
          <w:lang w:val="en-US"/>
        </w:rPr>
        <w:t xml:space="preserve">. </w:t>
      </w:r>
      <w:r w:rsidRPr="00347E31">
        <w:rPr>
          <w:rFonts w:ascii="Times New Roman" w:hAnsi="Times New Roman" w:cs="Times New Roman"/>
          <w:noProof/>
          <w:sz w:val="28"/>
          <w:szCs w:val="24"/>
        </w:rPr>
        <w:t>А</w:t>
      </w:r>
      <w:r w:rsidRPr="008849FA">
        <w:rPr>
          <w:rFonts w:ascii="Times New Roman" w:hAnsi="Times New Roman" w:cs="Times New Roman"/>
          <w:noProof/>
          <w:sz w:val="28"/>
          <w:szCs w:val="24"/>
          <w:lang w:val="en-US"/>
        </w:rPr>
        <w:t>.</w:t>
      </w:r>
      <w:r w:rsidRPr="00347E31">
        <w:rPr>
          <w:rFonts w:ascii="Times New Roman" w:hAnsi="Times New Roman" w:cs="Times New Roman"/>
          <w:noProof/>
          <w:sz w:val="28"/>
          <w:szCs w:val="24"/>
        </w:rPr>
        <w:t>Г</w:t>
      </w:r>
      <w:r w:rsidRPr="008849FA">
        <w:rPr>
          <w:rFonts w:ascii="Times New Roman" w:hAnsi="Times New Roman" w:cs="Times New Roman"/>
          <w:noProof/>
          <w:sz w:val="28"/>
          <w:szCs w:val="24"/>
          <w:lang w:val="en-US"/>
        </w:rPr>
        <w:t xml:space="preserve">.. </w:t>
      </w:r>
      <w:r w:rsidRPr="00347E31">
        <w:rPr>
          <w:rFonts w:ascii="Times New Roman" w:hAnsi="Times New Roman" w:cs="Times New Roman"/>
          <w:noProof/>
          <w:sz w:val="28"/>
          <w:szCs w:val="24"/>
        </w:rPr>
        <w:t xml:space="preserve">и др. Урология: учебник / под ред. П.В. Глыбочко, Ю.Г. Аляева. — 3-е изд., перераб. и доп. — М.: ГЭОТАР Медиа. </w:t>
      </w:r>
      <w:r w:rsidRPr="008849FA">
        <w:rPr>
          <w:rFonts w:ascii="Times New Roman" w:hAnsi="Times New Roman" w:cs="Times New Roman"/>
          <w:noProof/>
          <w:sz w:val="28"/>
          <w:szCs w:val="24"/>
          <w:lang w:val="en-US"/>
        </w:rPr>
        <w:t>2013. 543—558 p.</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5.</w:t>
      </w:r>
      <w:r w:rsidRPr="008849FA">
        <w:rPr>
          <w:rFonts w:ascii="Times New Roman" w:hAnsi="Times New Roman" w:cs="Times New Roman"/>
          <w:noProof/>
          <w:sz w:val="28"/>
          <w:szCs w:val="24"/>
          <w:lang w:val="en-US"/>
        </w:rPr>
        <w:tab/>
        <w:t>Kouidrat Y. et al. High prevalence of erectile dysfunction in diabetes: a systematic review and meta-analysis of 145 studies // Diabet. Med. Blackwell Publishing Ltd, 2017. Vol. 34, № 9. P. 1185–1192.</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6.</w:t>
      </w:r>
      <w:r w:rsidRPr="008849FA">
        <w:rPr>
          <w:rFonts w:ascii="Times New Roman" w:hAnsi="Times New Roman" w:cs="Times New Roman"/>
          <w:noProof/>
          <w:sz w:val="28"/>
          <w:szCs w:val="24"/>
          <w:lang w:val="en-US"/>
        </w:rPr>
        <w:tab/>
        <w:t>Yuan J. et al. Vacuum therapy in erectile dysfunction—science and clinical evidence // Int. J. Impot. Res. 2010 224. Nature Publishing Group, 2010. Vol. 22, № 4. P. 211–219.</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7.</w:t>
      </w:r>
      <w:r w:rsidRPr="008849FA">
        <w:rPr>
          <w:rFonts w:ascii="Times New Roman" w:hAnsi="Times New Roman" w:cs="Times New Roman"/>
          <w:noProof/>
          <w:sz w:val="28"/>
          <w:szCs w:val="24"/>
          <w:lang w:val="en-US"/>
        </w:rPr>
        <w:tab/>
        <w:t>Jiann B.P. Re: JinQiu Yuan, RenJie Zhang, ZuYao Yang, et al. Comparative Effectiveness and Safety of Oral Phosphodiesterase Type 5 Inhibitors for Erectile Dysfunction: A Systematic Review and Network Meta-analysis. Eur Urol 2013;63:902–12 // Eur. Urol. Elsevier, 2014. Vol. 65, № 3. P. e40.</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8.</w:t>
      </w:r>
      <w:r w:rsidRPr="008849FA">
        <w:rPr>
          <w:rFonts w:ascii="Times New Roman" w:hAnsi="Times New Roman" w:cs="Times New Roman"/>
          <w:noProof/>
          <w:sz w:val="28"/>
          <w:szCs w:val="24"/>
          <w:lang w:val="en-US"/>
        </w:rPr>
        <w:tab/>
        <w:t xml:space="preserve">Hatzimouratidis K. Sildenafil in the treatment of erectile dysfunction: an </w:t>
      </w:r>
      <w:r w:rsidRPr="008849FA">
        <w:rPr>
          <w:rFonts w:ascii="Times New Roman" w:hAnsi="Times New Roman" w:cs="Times New Roman"/>
          <w:noProof/>
          <w:sz w:val="28"/>
          <w:szCs w:val="24"/>
          <w:lang w:val="en-US"/>
        </w:rPr>
        <w:lastRenderedPageBreak/>
        <w:t>overview of the clinical evidence // Clin. Interv. Aging. Dove Press, 2006. Vol. 1, № 4. P. 403.</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9.</w:t>
      </w:r>
      <w:r w:rsidRPr="008849FA">
        <w:rPr>
          <w:rFonts w:ascii="Times New Roman" w:hAnsi="Times New Roman" w:cs="Times New Roman"/>
          <w:noProof/>
          <w:sz w:val="28"/>
          <w:szCs w:val="24"/>
          <w:lang w:val="en-US"/>
        </w:rPr>
        <w:tab/>
        <w:t>Chen L. et al. Phosphodiesterase 5 Inhibitors for the Treatment of Erectile Dysfunction: A Trade-off Network Meta-analysis // Eur. Urol. Elsevier, 2015. Vol. 68, № 4. P. 674–680.</w:t>
      </w:r>
    </w:p>
    <w:p w:rsidR="00347E31" w:rsidRPr="00347E31"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rPr>
      </w:pPr>
      <w:r w:rsidRPr="008849FA">
        <w:rPr>
          <w:rFonts w:ascii="Times New Roman" w:hAnsi="Times New Roman" w:cs="Times New Roman"/>
          <w:noProof/>
          <w:sz w:val="28"/>
          <w:szCs w:val="24"/>
          <w:lang w:val="en-US"/>
        </w:rPr>
        <w:t>10.</w:t>
      </w:r>
      <w:r w:rsidRPr="008849FA">
        <w:rPr>
          <w:rFonts w:ascii="Times New Roman" w:hAnsi="Times New Roman" w:cs="Times New Roman"/>
          <w:noProof/>
          <w:sz w:val="28"/>
          <w:szCs w:val="24"/>
          <w:lang w:val="en-US"/>
        </w:rPr>
        <w:tab/>
        <w:t xml:space="preserve">Angulo J.C. et al. Efficacy of low-intensity shock wave therapy for erectile dysfunction: A systematic review and meta-analysis // Actas Urol. </w:t>
      </w:r>
      <w:r w:rsidRPr="00347E31">
        <w:rPr>
          <w:rFonts w:ascii="Times New Roman" w:hAnsi="Times New Roman" w:cs="Times New Roman"/>
          <w:noProof/>
          <w:sz w:val="28"/>
          <w:szCs w:val="24"/>
        </w:rPr>
        <w:t>Esp. Actas Urol Esp, 2017. Vol. 41, № 8. P. 479–490.</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347E31">
        <w:rPr>
          <w:rFonts w:ascii="Times New Roman" w:hAnsi="Times New Roman" w:cs="Times New Roman"/>
          <w:noProof/>
          <w:sz w:val="28"/>
          <w:szCs w:val="24"/>
        </w:rPr>
        <w:t>11.</w:t>
      </w:r>
      <w:r w:rsidRPr="00347E31">
        <w:rPr>
          <w:rFonts w:ascii="Times New Roman" w:hAnsi="Times New Roman" w:cs="Times New Roman"/>
          <w:noProof/>
          <w:sz w:val="28"/>
          <w:szCs w:val="24"/>
        </w:rPr>
        <w:tab/>
        <w:t xml:space="preserve">Аляев Г.Ч.А. Книга: “Половые расстройства у мужчин” . </w:t>
      </w:r>
      <w:r w:rsidRPr="008849FA">
        <w:rPr>
          <w:rFonts w:ascii="Times New Roman" w:hAnsi="Times New Roman" w:cs="Times New Roman"/>
          <w:noProof/>
          <w:sz w:val="28"/>
          <w:szCs w:val="24"/>
          <w:lang w:val="en-US"/>
        </w:rPr>
        <w:t>2012, 2012. 71–90 p.</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12.</w:t>
      </w:r>
      <w:r w:rsidRPr="008849FA">
        <w:rPr>
          <w:rFonts w:ascii="Times New Roman" w:hAnsi="Times New Roman" w:cs="Times New Roman"/>
          <w:noProof/>
          <w:sz w:val="28"/>
          <w:szCs w:val="24"/>
          <w:lang w:val="en-US"/>
        </w:rPr>
        <w:tab/>
        <w:t>Clavijo R.I. et al. Effects of Low-Intensity Extracorporeal Shockwave Therapy on Erectile Dysfunction: A Systematic Review and Meta-Analysis // J. Sex. Med. Elsevier B.V., 2017. Vol. 14, № 1. P. 27–35.</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13.</w:t>
      </w:r>
      <w:r w:rsidRPr="008849FA">
        <w:rPr>
          <w:rFonts w:ascii="Times New Roman" w:hAnsi="Times New Roman" w:cs="Times New Roman"/>
          <w:noProof/>
          <w:sz w:val="28"/>
          <w:szCs w:val="24"/>
          <w:lang w:val="en-US"/>
        </w:rPr>
        <w:tab/>
        <w:t>Chung E., Wang J. A state-of-art review of low intensity extracorporeal shock wave therapy and lithotripter machines for the treatment of erectile dysfunction // Expert Rev. Med. Devices. Expert Rev Med Devices, 2017. Vol. 14, № 12. P. 929–934.</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14.</w:t>
      </w:r>
      <w:r w:rsidRPr="008849FA">
        <w:rPr>
          <w:rFonts w:ascii="Times New Roman" w:hAnsi="Times New Roman" w:cs="Times New Roman"/>
          <w:noProof/>
          <w:sz w:val="28"/>
          <w:szCs w:val="24"/>
          <w:lang w:val="en-US"/>
        </w:rPr>
        <w:tab/>
        <w:t>Medina-Polo J. et al. Visión global de las guías clínicas en cirugía de la disfunción eréctil: EUA-AUA // Actas Urológicas Españolas. Elsevier Doyma, 2020. Vol. 44, № 5. P. 289–293.</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15.</w:t>
      </w:r>
      <w:r w:rsidRPr="008849FA">
        <w:rPr>
          <w:rFonts w:ascii="Times New Roman" w:hAnsi="Times New Roman" w:cs="Times New Roman"/>
          <w:noProof/>
          <w:sz w:val="28"/>
          <w:szCs w:val="24"/>
          <w:lang w:val="en-US"/>
        </w:rPr>
        <w:tab/>
        <w:t>Kumaran B., Watson T. Thermal build-up, decay and retention responses to local therapeutic application of 448 kHz capacitive resistive monopolar radiofrequency: A prospective randomised crossover study in healthy adults // Int. J. Hyperthermia. Int J Hyperthermia, 2015. Vol. 31, № 8. P. 883–895.</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16.</w:t>
      </w:r>
      <w:r w:rsidRPr="008849FA">
        <w:rPr>
          <w:rFonts w:ascii="Times New Roman" w:hAnsi="Times New Roman" w:cs="Times New Roman"/>
          <w:noProof/>
          <w:sz w:val="28"/>
          <w:szCs w:val="24"/>
          <w:lang w:val="en-US"/>
        </w:rPr>
        <w:tab/>
        <w:t>Hatzimouratidis K. et al. Pharmacotherapy for Erectile Dysfunction: Recommendations From the Fourth International Consultation for Sexual Medicine (ICSM 2015) // J. Sex. Med. J Sex Med, 2016. Vol. 13, № 4. P. 465–488.</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17.</w:t>
      </w:r>
      <w:r w:rsidRPr="008849FA">
        <w:rPr>
          <w:rFonts w:ascii="Times New Roman" w:hAnsi="Times New Roman" w:cs="Times New Roman"/>
          <w:noProof/>
          <w:sz w:val="28"/>
          <w:szCs w:val="24"/>
          <w:lang w:val="en-US"/>
        </w:rPr>
        <w:tab/>
        <w:t xml:space="preserve">Kumaran B., Watson T. Thermal build-up, decay and retention responses to local therapeutic application of 448 kHz capacitive resistive monopolar </w:t>
      </w:r>
      <w:r w:rsidRPr="008849FA">
        <w:rPr>
          <w:rFonts w:ascii="Times New Roman" w:hAnsi="Times New Roman" w:cs="Times New Roman"/>
          <w:noProof/>
          <w:sz w:val="28"/>
          <w:szCs w:val="24"/>
          <w:lang w:val="en-US"/>
        </w:rPr>
        <w:lastRenderedPageBreak/>
        <w:t>radiofrequency: A prospective randomised crossover study in healthy adults // Int. J. Hyperth. Taylor and Francis Ltd, 2015. Vol. 31, № 8. P. 883–895.</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18.</w:t>
      </w:r>
      <w:r w:rsidRPr="008849FA">
        <w:rPr>
          <w:rFonts w:ascii="Times New Roman" w:hAnsi="Times New Roman" w:cs="Times New Roman"/>
          <w:noProof/>
          <w:sz w:val="28"/>
          <w:szCs w:val="24"/>
          <w:lang w:val="en-US"/>
        </w:rPr>
        <w:tab/>
        <w:t>Al-Mandeel M.M., Watson T. The thermal and nonthermal effects of high and low doses of pulsed short wave therapy (PSWT) // Physiother. Res. Int. 2010. Vol. 15, № 4. P. 199–211.</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19.</w:t>
      </w:r>
      <w:r w:rsidRPr="008849FA">
        <w:rPr>
          <w:rFonts w:ascii="Times New Roman" w:hAnsi="Times New Roman" w:cs="Times New Roman"/>
          <w:noProof/>
          <w:sz w:val="28"/>
          <w:szCs w:val="24"/>
          <w:lang w:val="en-US"/>
        </w:rPr>
        <w:tab/>
        <w:t>Brengelmann G. Perspective in comparisons of skin versus muscle blood flow // J. Appl. Physiol. 2011. Vol. 111, № 4. P. 1225.</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20.</w:t>
      </w:r>
      <w:r w:rsidRPr="008849FA">
        <w:rPr>
          <w:rFonts w:ascii="Times New Roman" w:hAnsi="Times New Roman" w:cs="Times New Roman"/>
          <w:noProof/>
          <w:sz w:val="28"/>
          <w:szCs w:val="24"/>
          <w:lang w:val="en-US"/>
        </w:rPr>
        <w:tab/>
        <w:t>Shah S.G.S., Farrow A. Systematic literature review of adverse reproductive outcomes associated with physiotherapists’ occupational exposures to non-ionising radiation // J. Occup. Health. 2014. Vol. 56, № 5. P. 323–331.</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21.</w:t>
      </w:r>
      <w:r w:rsidRPr="008849FA">
        <w:rPr>
          <w:rFonts w:ascii="Times New Roman" w:hAnsi="Times New Roman" w:cs="Times New Roman"/>
          <w:noProof/>
          <w:sz w:val="28"/>
          <w:szCs w:val="24"/>
          <w:lang w:val="en-US"/>
        </w:rPr>
        <w:tab/>
        <w:t>Shah S.G.S., Farrow A. Assessment of physiotherapists’ occupational exposure to radiofrequency electromagnetic fields from shortwave and microwave diathermy devices: A literature review // J. Occup. Environ. Hyg. 2013. Vol. 10, № 6. P. 312–327.</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22.</w:t>
      </w:r>
      <w:r w:rsidRPr="008849FA">
        <w:rPr>
          <w:rFonts w:ascii="Times New Roman" w:hAnsi="Times New Roman" w:cs="Times New Roman"/>
          <w:noProof/>
          <w:sz w:val="28"/>
          <w:szCs w:val="24"/>
          <w:lang w:val="en-US"/>
        </w:rPr>
        <w:tab/>
        <w:t>Pilla A.A. Nonthermal electromagnetic fields: From first messenger to therapeutic applications // Electromagn. Biol. Med. 2013. Vol. 32, № 2. P. 123–136.</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23.</w:t>
      </w:r>
      <w:r w:rsidRPr="008849FA">
        <w:rPr>
          <w:rFonts w:ascii="Times New Roman" w:hAnsi="Times New Roman" w:cs="Times New Roman"/>
          <w:noProof/>
          <w:sz w:val="28"/>
          <w:szCs w:val="24"/>
          <w:lang w:val="en-US"/>
        </w:rPr>
        <w:tab/>
        <w:t>Hernández-Bule M.L. et al. Antiadipogenic effects of subthermal electric stimulation at 448 kHz on differentiating human mesenchymal stem cells // Mol. Med. Rep. 2016. Vol. 13, № 5. P. 3895–3903.</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24.</w:t>
      </w:r>
      <w:r w:rsidRPr="008849FA">
        <w:rPr>
          <w:rFonts w:ascii="Times New Roman" w:hAnsi="Times New Roman" w:cs="Times New Roman"/>
          <w:noProof/>
          <w:sz w:val="28"/>
          <w:szCs w:val="24"/>
          <w:lang w:val="en-US"/>
        </w:rPr>
        <w:tab/>
        <w:t>Hernández-Bule M.L., Trillo M.Á., Úbeda A. Molecular mechanisms underlying antiproliferative and differentiating responses of hepatocarcinoma cells to subthermal electric stimulation // PLoS One. 2014. Vol. 9, № 1.</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25.</w:t>
      </w:r>
      <w:r w:rsidRPr="008849FA">
        <w:rPr>
          <w:rFonts w:ascii="Times New Roman" w:hAnsi="Times New Roman" w:cs="Times New Roman"/>
          <w:noProof/>
          <w:sz w:val="28"/>
          <w:szCs w:val="24"/>
          <w:lang w:val="en-US"/>
        </w:rPr>
        <w:tab/>
        <w:t>Hatzichristou D. et al. Diagnosing Sexual Dysfunction in Men and Women: Sexual History Taking and the Role of Symptom Scales and Questionnaires // J. Sex. Med. 2016. Vol. 13, № 8. P. 1166–1182.</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26.</w:t>
      </w:r>
      <w:r w:rsidRPr="008849FA">
        <w:rPr>
          <w:rFonts w:ascii="Times New Roman" w:hAnsi="Times New Roman" w:cs="Times New Roman"/>
          <w:noProof/>
          <w:sz w:val="28"/>
          <w:szCs w:val="24"/>
          <w:lang w:val="en-US"/>
        </w:rPr>
        <w:tab/>
        <w:t>Rosen R.C. et al. The international index of erectile function (IIEF): A multidimensional scale for assessment of erectile dysfunction // Urology. 1997. Vol. 49, № 6. P. 822–830.</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27.</w:t>
      </w:r>
      <w:r w:rsidRPr="008849FA">
        <w:rPr>
          <w:rFonts w:ascii="Times New Roman" w:hAnsi="Times New Roman" w:cs="Times New Roman"/>
          <w:noProof/>
          <w:sz w:val="28"/>
          <w:szCs w:val="24"/>
          <w:lang w:val="en-US"/>
        </w:rPr>
        <w:tab/>
        <w:t xml:space="preserve">Salonia A. et al. European Association of Urology Guidelines on Sexual and </w:t>
      </w:r>
      <w:r w:rsidRPr="008849FA">
        <w:rPr>
          <w:rFonts w:ascii="Times New Roman" w:hAnsi="Times New Roman" w:cs="Times New Roman"/>
          <w:noProof/>
          <w:sz w:val="28"/>
          <w:szCs w:val="24"/>
          <w:lang w:val="en-US"/>
        </w:rPr>
        <w:lastRenderedPageBreak/>
        <w:t>Reproductive Health—2021 Update: Male Sexual Dysfunction[Formula presented] // Eur. Urol. 2021. Vol. 80, № 3. P. 333–357.</w:t>
      </w:r>
    </w:p>
    <w:p w:rsidR="00347E31" w:rsidRPr="008849FA"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szCs w:val="24"/>
          <w:lang w:val="en-US"/>
        </w:rPr>
      </w:pPr>
      <w:r w:rsidRPr="008849FA">
        <w:rPr>
          <w:rFonts w:ascii="Times New Roman" w:hAnsi="Times New Roman" w:cs="Times New Roman"/>
          <w:noProof/>
          <w:sz w:val="28"/>
          <w:szCs w:val="24"/>
          <w:lang w:val="en-US"/>
        </w:rPr>
        <w:t>28.</w:t>
      </w:r>
      <w:r w:rsidRPr="008849FA">
        <w:rPr>
          <w:rFonts w:ascii="Times New Roman" w:hAnsi="Times New Roman" w:cs="Times New Roman"/>
          <w:noProof/>
          <w:sz w:val="28"/>
          <w:szCs w:val="24"/>
          <w:lang w:val="en-US"/>
        </w:rPr>
        <w:tab/>
        <w:t>Heinonen I. et al. Regulation of subcutaneous adipose tissue blood flow during exercise in humans // J. Appl. Physiol. 2012. Vol. 112, № 6. P. 1059–1063.</w:t>
      </w:r>
    </w:p>
    <w:p w:rsidR="00347E31" w:rsidRPr="00347E31" w:rsidRDefault="00347E31" w:rsidP="005146FA">
      <w:pPr>
        <w:widowControl w:val="0"/>
        <w:autoSpaceDE w:val="0"/>
        <w:autoSpaceDN w:val="0"/>
        <w:adjustRightInd w:val="0"/>
        <w:spacing w:after="0" w:line="360" w:lineRule="auto"/>
        <w:ind w:left="640" w:hanging="640"/>
        <w:jc w:val="both"/>
        <w:rPr>
          <w:rFonts w:ascii="Times New Roman" w:hAnsi="Times New Roman" w:cs="Times New Roman"/>
          <w:noProof/>
          <w:sz w:val="28"/>
        </w:rPr>
      </w:pPr>
      <w:r w:rsidRPr="008849FA">
        <w:rPr>
          <w:rFonts w:ascii="Times New Roman" w:hAnsi="Times New Roman" w:cs="Times New Roman"/>
          <w:noProof/>
          <w:sz w:val="28"/>
          <w:szCs w:val="24"/>
          <w:lang w:val="en-US"/>
        </w:rPr>
        <w:t>29.</w:t>
      </w:r>
      <w:r w:rsidRPr="008849FA">
        <w:rPr>
          <w:rFonts w:ascii="Times New Roman" w:hAnsi="Times New Roman" w:cs="Times New Roman"/>
          <w:noProof/>
          <w:sz w:val="28"/>
          <w:szCs w:val="24"/>
          <w:lang w:val="en-US"/>
        </w:rPr>
        <w:tab/>
        <w:t xml:space="preserve">Kumaran B., Watson T. Skin thermophysiological effects of 448 kHz capacitive resistive monopolar radiofrequency in healthy adults: A randomised crossover study and comparison with pulsed shortwave therapy // Electromagn. </w:t>
      </w:r>
      <w:r w:rsidRPr="00347E31">
        <w:rPr>
          <w:rFonts w:ascii="Times New Roman" w:hAnsi="Times New Roman" w:cs="Times New Roman"/>
          <w:noProof/>
          <w:sz w:val="28"/>
          <w:szCs w:val="24"/>
        </w:rPr>
        <w:t>Biol. Med. Taylor &amp; Francis, 2018. Vol. 37, № 1. P. 1–12.</w:t>
      </w:r>
    </w:p>
    <w:p w:rsidR="00A56EF5" w:rsidRDefault="00347E31" w:rsidP="005146FA">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fldChar w:fldCharType="end"/>
      </w:r>
    </w:p>
    <w:p w:rsidR="00937879" w:rsidRDefault="00937879" w:rsidP="005146FA">
      <w:pPr>
        <w:pStyle w:val="ac"/>
        <w:spacing w:line="360" w:lineRule="auto"/>
        <w:jc w:val="both"/>
        <w:rPr>
          <w:rFonts w:ascii="Times New Roman" w:hAnsi="Times New Roman" w:cs="Times New Roman"/>
          <w:sz w:val="28"/>
          <w:szCs w:val="28"/>
        </w:rPr>
      </w:pPr>
    </w:p>
    <w:p w:rsidR="00937879" w:rsidRPr="00FA68D7" w:rsidRDefault="00937879" w:rsidP="005146FA">
      <w:pPr>
        <w:pStyle w:val="ac"/>
        <w:spacing w:line="360" w:lineRule="auto"/>
        <w:jc w:val="both"/>
        <w:rPr>
          <w:rFonts w:ascii="Times New Roman" w:hAnsi="Times New Roman" w:cs="Times New Roman"/>
          <w:sz w:val="28"/>
          <w:szCs w:val="28"/>
        </w:rPr>
      </w:pPr>
    </w:p>
    <w:sectPr w:rsidR="00937879" w:rsidRPr="00FA68D7" w:rsidSect="00FA68D7">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F3D" w:rsidRDefault="005B1F3D" w:rsidP="00441555">
      <w:pPr>
        <w:spacing w:after="0" w:line="240" w:lineRule="auto"/>
      </w:pPr>
      <w:r>
        <w:separator/>
      </w:r>
    </w:p>
  </w:endnote>
  <w:endnote w:type="continuationSeparator" w:id="0">
    <w:p w:rsidR="005B1F3D" w:rsidRDefault="005B1F3D" w:rsidP="0044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erif">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879709"/>
      <w:docPartObj>
        <w:docPartGallery w:val="Page Numbers (Bottom of Page)"/>
        <w:docPartUnique/>
      </w:docPartObj>
    </w:sdtPr>
    <w:sdtContent>
      <w:p w:rsidR="008849FA" w:rsidRDefault="008849FA">
        <w:pPr>
          <w:pStyle w:val="aa"/>
          <w:jc w:val="right"/>
        </w:pPr>
        <w:r>
          <w:fldChar w:fldCharType="begin"/>
        </w:r>
        <w:r>
          <w:instrText>PAGE   \* MERGEFORMAT</w:instrText>
        </w:r>
        <w:r>
          <w:fldChar w:fldCharType="separate"/>
        </w:r>
        <w:r w:rsidR="00C539B1">
          <w:rPr>
            <w:noProof/>
          </w:rPr>
          <w:t>4</w:t>
        </w:r>
        <w:r>
          <w:fldChar w:fldCharType="end"/>
        </w:r>
      </w:p>
    </w:sdtContent>
  </w:sdt>
  <w:p w:rsidR="008849FA" w:rsidRDefault="008849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F3D" w:rsidRDefault="005B1F3D" w:rsidP="00441555">
      <w:pPr>
        <w:spacing w:after="0" w:line="240" w:lineRule="auto"/>
      </w:pPr>
      <w:r>
        <w:separator/>
      </w:r>
    </w:p>
  </w:footnote>
  <w:footnote w:type="continuationSeparator" w:id="0">
    <w:p w:rsidR="005B1F3D" w:rsidRDefault="005B1F3D" w:rsidP="00441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4A3"/>
    <w:multiLevelType w:val="hybridMultilevel"/>
    <w:tmpl w:val="E2989548"/>
    <w:lvl w:ilvl="0" w:tplc="6BF4C7AE">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0D0F28E1"/>
    <w:multiLevelType w:val="hybridMultilevel"/>
    <w:tmpl w:val="187464AA"/>
    <w:lvl w:ilvl="0" w:tplc="43AA2786">
      <w:start w:val="1"/>
      <w:numFmt w:val="decimal"/>
      <w:lvlText w:val="%1."/>
      <w:lvlJc w:val="left"/>
      <w:pPr>
        <w:tabs>
          <w:tab w:val="num" w:pos="720"/>
        </w:tabs>
        <w:ind w:left="720" w:hanging="360"/>
      </w:pPr>
    </w:lvl>
    <w:lvl w:ilvl="1" w:tplc="8CBCAE66" w:tentative="1">
      <w:start w:val="1"/>
      <w:numFmt w:val="decimal"/>
      <w:lvlText w:val="%2."/>
      <w:lvlJc w:val="left"/>
      <w:pPr>
        <w:tabs>
          <w:tab w:val="num" w:pos="1440"/>
        </w:tabs>
        <w:ind w:left="1440" w:hanging="360"/>
      </w:pPr>
    </w:lvl>
    <w:lvl w:ilvl="2" w:tplc="27C64018" w:tentative="1">
      <w:start w:val="1"/>
      <w:numFmt w:val="decimal"/>
      <w:lvlText w:val="%3."/>
      <w:lvlJc w:val="left"/>
      <w:pPr>
        <w:tabs>
          <w:tab w:val="num" w:pos="2160"/>
        </w:tabs>
        <w:ind w:left="2160" w:hanging="360"/>
      </w:pPr>
    </w:lvl>
    <w:lvl w:ilvl="3" w:tplc="36166326" w:tentative="1">
      <w:start w:val="1"/>
      <w:numFmt w:val="decimal"/>
      <w:lvlText w:val="%4."/>
      <w:lvlJc w:val="left"/>
      <w:pPr>
        <w:tabs>
          <w:tab w:val="num" w:pos="2880"/>
        </w:tabs>
        <w:ind w:left="2880" w:hanging="360"/>
      </w:pPr>
    </w:lvl>
    <w:lvl w:ilvl="4" w:tplc="355C6310" w:tentative="1">
      <w:start w:val="1"/>
      <w:numFmt w:val="decimal"/>
      <w:lvlText w:val="%5."/>
      <w:lvlJc w:val="left"/>
      <w:pPr>
        <w:tabs>
          <w:tab w:val="num" w:pos="3600"/>
        </w:tabs>
        <w:ind w:left="3600" w:hanging="360"/>
      </w:pPr>
    </w:lvl>
    <w:lvl w:ilvl="5" w:tplc="C0AE8C56" w:tentative="1">
      <w:start w:val="1"/>
      <w:numFmt w:val="decimal"/>
      <w:lvlText w:val="%6."/>
      <w:lvlJc w:val="left"/>
      <w:pPr>
        <w:tabs>
          <w:tab w:val="num" w:pos="4320"/>
        </w:tabs>
        <w:ind w:left="4320" w:hanging="360"/>
      </w:pPr>
    </w:lvl>
    <w:lvl w:ilvl="6" w:tplc="4E52F7EE" w:tentative="1">
      <w:start w:val="1"/>
      <w:numFmt w:val="decimal"/>
      <w:lvlText w:val="%7."/>
      <w:lvlJc w:val="left"/>
      <w:pPr>
        <w:tabs>
          <w:tab w:val="num" w:pos="5040"/>
        </w:tabs>
        <w:ind w:left="5040" w:hanging="360"/>
      </w:pPr>
    </w:lvl>
    <w:lvl w:ilvl="7" w:tplc="172EBC6A" w:tentative="1">
      <w:start w:val="1"/>
      <w:numFmt w:val="decimal"/>
      <w:lvlText w:val="%8."/>
      <w:lvlJc w:val="left"/>
      <w:pPr>
        <w:tabs>
          <w:tab w:val="num" w:pos="5760"/>
        </w:tabs>
        <w:ind w:left="5760" w:hanging="360"/>
      </w:pPr>
    </w:lvl>
    <w:lvl w:ilvl="8" w:tplc="D5D0224C" w:tentative="1">
      <w:start w:val="1"/>
      <w:numFmt w:val="decimal"/>
      <w:lvlText w:val="%9."/>
      <w:lvlJc w:val="left"/>
      <w:pPr>
        <w:tabs>
          <w:tab w:val="num" w:pos="6480"/>
        </w:tabs>
        <w:ind w:left="6480" w:hanging="360"/>
      </w:pPr>
    </w:lvl>
  </w:abstractNum>
  <w:abstractNum w:abstractNumId="2" w15:restartNumberingAfterBreak="0">
    <w:nsid w:val="204F40A5"/>
    <w:multiLevelType w:val="hybridMultilevel"/>
    <w:tmpl w:val="D6BA22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30F978EA"/>
    <w:multiLevelType w:val="hybridMultilevel"/>
    <w:tmpl w:val="B22E30E6"/>
    <w:lvl w:ilvl="0" w:tplc="7FDE0F5A">
      <w:start w:val="1"/>
      <w:numFmt w:val="decimal"/>
      <w:lvlText w:val="%1."/>
      <w:lvlJc w:val="left"/>
      <w:pPr>
        <w:ind w:left="790" w:hanging="4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E96B19"/>
    <w:multiLevelType w:val="hybridMultilevel"/>
    <w:tmpl w:val="D6BA22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446D3A3D"/>
    <w:multiLevelType w:val="hybridMultilevel"/>
    <w:tmpl w:val="B22E30E6"/>
    <w:lvl w:ilvl="0" w:tplc="7FDE0F5A">
      <w:start w:val="1"/>
      <w:numFmt w:val="decimal"/>
      <w:lvlText w:val="%1."/>
      <w:lvlJc w:val="left"/>
      <w:pPr>
        <w:ind w:left="790" w:hanging="4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672DB3"/>
    <w:multiLevelType w:val="hybridMultilevel"/>
    <w:tmpl w:val="D6BA22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15:restartNumberingAfterBreak="0">
    <w:nsid w:val="58A16BAB"/>
    <w:multiLevelType w:val="hybridMultilevel"/>
    <w:tmpl w:val="BD9828A0"/>
    <w:lvl w:ilvl="0" w:tplc="3A22B736">
      <w:start w:val="16"/>
      <w:numFmt w:val="bullet"/>
      <w:lvlText w:val=""/>
      <w:lvlJc w:val="left"/>
      <w:pPr>
        <w:ind w:left="-281" w:hanging="360"/>
      </w:pPr>
      <w:rPr>
        <w:rFonts w:ascii="Symbol" w:eastAsiaTheme="minorHAnsi" w:hAnsi="Symbol" w:cs="Times New Roman" w:hint="default"/>
        <w:b w:val="0"/>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5F2A0B86"/>
    <w:multiLevelType w:val="hybridMultilevel"/>
    <w:tmpl w:val="B22E30E6"/>
    <w:lvl w:ilvl="0" w:tplc="7FDE0F5A">
      <w:start w:val="1"/>
      <w:numFmt w:val="decimal"/>
      <w:lvlText w:val="%1."/>
      <w:lvlJc w:val="left"/>
      <w:pPr>
        <w:ind w:left="790" w:hanging="4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F922BB"/>
    <w:multiLevelType w:val="hybridMultilevel"/>
    <w:tmpl w:val="422AA946"/>
    <w:lvl w:ilvl="0" w:tplc="C48C9FF6">
      <w:start w:val="4"/>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664A0302"/>
    <w:multiLevelType w:val="hybridMultilevel"/>
    <w:tmpl w:val="08B2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841D7C"/>
    <w:multiLevelType w:val="hybridMultilevel"/>
    <w:tmpl w:val="AD96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E4721E"/>
    <w:multiLevelType w:val="hybridMultilevel"/>
    <w:tmpl w:val="4D1EEF76"/>
    <w:lvl w:ilvl="0" w:tplc="04190001">
      <w:start w:val="1"/>
      <w:numFmt w:val="decimal"/>
      <w:lvlText w:val="%1."/>
      <w:lvlJc w:val="left"/>
      <w:pPr>
        <w:tabs>
          <w:tab w:val="num" w:pos="360"/>
        </w:tabs>
        <w:ind w:left="360"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734576B6"/>
    <w:multiLevelType w:val="hybridMultilevel"/>
    <w:tmpl w:val="2B68AB4E"/>
    <w:lvl w:ilvl="0" w:tplc="3A22B736">
      <w:start w:val="16"/>
      <w:numFmt w:val="bullet"/>
      <w:lvlText w:val=""/>
      <w:lvlJc w:val="left"/>
      <w:pPr>
        <w:ind w:left="-349" w:hanging="360"/>
      </w:pPr>
      <w:rPr>
        <w:rFonts w:ascii="Symbol" w:eastAsiaTheme="minorHAnsi" w:hAnsi="Symbol" w:cs="Times New Roman" w:hint="default"/>
        <w:b w:val="0"/>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16cid:durableId="1311669394">
    <w:abstractNumId w:val="6"/>
  </w:num>
  <w:num w:numId="2" w16cid:durableId="1990984214">
    <w:abstractNumId w:val="2"/>
  </w:num>
  <w:num w:numId="3" w16cid:durableId="1215392637">
    <w:abstractNumId w:val="10"/>
  </w:num>
  <w:num w:numId="4" w16cid:durableId="1531725820">
    <w:abstractNumId w:val="13"/>
  </w:num>
  <w:num w:numId="5" w16cid:durableId="650866716">
    <w:abstractNumId w:val="7"/>
  </w:num>
  <w:num w:numId="6" w16cid:durableId="1356731098">
    <w:abstractNumId w:val="8"/>
  </w:num>
  <w:num w:numId="7" w16cid:durableId="923997313">
    <w:abstractNumId w:val="4"/>
  </w:num>
  <w:num w:numId="8" w16cid:durableId="1366373078">
    <w:abstractNumId w:val="5"/>
  </w:num>
  <w:num w:numId="9" w16cid:durableId="1169784766">
    <w:abstractNumId w:val="3"/>
  </w:num>
  <w:num w:numId="10" w16cid:durableId="129908342">
    <w:abstractNumId w:val="9"/>
  </w:num>
  <w:num w:numId="11" w16cid:durableId="1213270081">
    <w:abstractNumId w:val="1"/>
  </w:num>
  <w:num w:numId="12" w16cid:durableId="636299698">
    <w:abstractNumId w:val="12"/>
  </w:num>
  <w:num w:numId="13" w16cid:durableId="675499587">
    <w:abstractNumId w:val="0"/>
  </w:num>
  <w:num w:numId="14" w16cid:durableId="105011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44"/>
    <w:rsid w:val="00001F9A"/>
    <w:rsid w:val="0000338B"/>
    <w:rsid w:val="00011A3D"/>
    <w:rsid w:val="00013FAF"/>
    <w:rsid w:val="00014E15"/>
    <w:rsid w:val="00021A0A"/>
    <w:rsid w:val="00026FBA"/>
    <w:rsid w:val="0002703B"/>
    <w:rsid w:val="00035060"/>
    <w:rsid w:val="00036896"/>
    <w:rsid w:val="000429E9"/>
    <w:rsid w:val="00046CCA"/>
    <w:rsid w:val="00052290"/>
    <w:rsid w:val="00061E8C"/>
    <w:rsid w:val="000652BA"/>
    <w:rsid w:val="00072ECE"/>
    <w:rsid w:val="000828E5"/>
    <w:rsid w:val="00083638"/>
    <w:rsid w:val="00083B87"/>
    <w:rsid w:val="00084104"/>
    <w:rsid w:val="00094ECF"/>
    <w:rsid w:val="00095595"/>
    <w:rsid w:val="00096080"/>
    <w:rsid w:val="000A3A15"/>
    <w:rsid w:val="000A48E8"/>
    <w:rsid w:val="000B0426"/>
    <w:rsid w:val="000B541C"/>
    <w:rsid w:val="000C362B"/>
    <w:rsid w:val="000D51DC"/>
    <w:rsid w:val="000E0A2D"/>
    <w:rsid w:val="000E21DB"/>
    <w:rsid w:val="000E4AF0"/>
    <w:rsid w:val="000E6E2D"/>
    <w:rsid w:val="000F026A"/>
    <w:rsid w:val="000F0762"/>
    <w:rsid w:val="000F3DEA"/>
    <w:rsid w:val="00101255"/>
    <w:rsid w:val="001022F3"/>
    <w:rsid w:val="00103A79"/>
    <w:rsid w:val="00103F6C"/>
    <w:rsid w:val="001072FD"/>
    <w:rsid w:val="00111DCE"/>
    <w:rsid w:val="00112394"/>
    <w:rsid w:val="00112E90"/>
    <w:rsid w:val="0011338C"/>
    <w:rsid w:val="001179D5"/>
    <w:rsid w:val="0012497E"/>
    <w:rsid w:val="0012550D"/>
    <w:rsid w:val="0012676E"/>
    <w:rsid w:val="001275D7"/>
    <w:rsid w:val="00135075"/>
    <w:rsid w:val="00140884"/>
    <w:rsid w:val="00142E1F"/>
    <w:rsid w:val="001434ED"/>
    <w:rsid w:val="00143EA2"/>
    <w:rsid w:val="0015107F"/>
    <w:rsid w:val="0015172D"/>
    <w:rsid w:val="00156B74"/>
    <w:rsid w:val="00167DCC"/>
    <w:rsid w:val="00175EFD"/>
    <w:rsid w:val="00176597"/>
    <w:rsid w:val="00180CF2"/>
    <w:rsid w:val="00181D3B"/>
    <w:rsid w:val="001846C4"/>
    <w:rsid w:val="00196758"/>
    <w:rsid w:val="00196BFF"/>
    <w:rsid w:val="00197EB7"/>
    <w:rsid w:val="001A051D"/>
    <w:rsid w:val="001A0739"/>
    <w:rsid w:val="001A0996"/>
    <w:rsid w:val="001A1321"/>
    <w:rsid w:val="001A6271"/>
    <w:rsid w:val="001A7EF9"/>
    <w:rsid w:val="001B685F"/>
    <w:rsid w:val="001B714A"/>
    <w:rsid w:val="001C16E7"/>
    <w:rsid w:val="001C1C6A"/>
    <w:rsid w:val="001E2C1B"/>
    <w:rsid w:val="001E3001"/>
    <w:rsid w:val="001E584B"/>
    <w:rsid w:val="001F1D06"/>
    <w:rsid w:val="001F4537"/>
    <w:rsid w:val="00201641"/>
    <w:rsid w:val="0020549B"/>
    <w:rsid w:val="0021781A"/>
    <w:rsid w:val="00222A87"/>
    <w:rsid w:val="00222EB0"/>
    <w:rsid w:val="00223FFB"/>
    <w:rsid w:val="0022442F"/>
    <w:rsid w:val="00224859"/>
    <w:rsid w:val="00225E40"/>
    <w:rsid w:val="00226484"/>
    <w:rsid w:val="00231D58"/>
    <w:rsid w:val="00234CF8"/>
    <w:rsid w:val="002378E5"/>
    <w:rsid w:val="0024328A"/>
    <w:rsid w:val="00245F4E"/>
    <w:rsid w:val="00253FF7"/>
    <w:rsid w:val="002603E4"/>
    <w:rsid w:val="00270DED"/>
    <w:rsid w:val="00271B73"/>
    <w:rsid w:val="00274081"/>
    <w:rsid w:val="002755D8"/>
    <w:rsid w:val="00280D3E"/>
    <w:rsid w:val="002819A0"/>
    <w:rsid w:val="00283380"/>
    <w:rsid w:val="00284BEB"/>
    <w:rsid w:val="002905AE"/>
    <w:rsid w:val="00291C38"/>
    <w:rsid w:val="002961F4"/>
    <w:rsid w:val="002A126C"/>
    <w:rsid w:val="002A1A70"/>
    <w:rsid w:val="002A3E08"/>
    <w:rsid w:val="002B3C3C"/>
    <w:rsid w:val="002C06AC"/>
    <w:rsid w:val="002C7AB0"/>
    <w:rsid w:val="002D2087"/>
    <w:rsid w:val="002D23CD"/>
    <w:rsid w:val="002D453E"/>
    <w:rsid w:val="002D5A77"/>
    <w:rsid w:val="002D602D"/>
    <w:rsid w:val="002D695C"/>
    <w:rsid w:val="002E12EE"/>
    <w:rsid w:val="002E20B4"/>
    <w:rsid w:val="002E23B6"/>
    <w:rsid w:val="002E2DFF"/>
    <w:rsid w:val="002E51B7"/>
    <w:rsid w:val="002E6980"/>
    <w:rsid w:val="002F785F"/>
    <w:rsid w:val="0030018C"/>
    <w:rsid w:val="003068C4"/>
    <w:rsid w:val="0031580E"/>
    <w:rsid w:val="00320DE6"/>
    <w:rsid w:val="00324074"/>
    <w:rsid w:val="0032540F"/>
    <w:rsid w:val="003278BD"/>
    <w:rsid w:val="00327DF7"/>
    <w:rsid w:val="00334F7D"/>
    <w:rsid w:val="00341C78"/>
    <w:rsid w:val="003442F5"/>
    <w:rsid w:val="00345295"/>
    <w:rsid w:val="00347DF0"/>
    <w:rsid w:val="00347E31"/>
    <w:rsid w:val="00351CB0"/>
    <w:rsid w:val="003538C5"/>
    <w:rsid w:val="0035552D"/>
    <w:rsid w:val="00355E3F"/>
    <w:rsid w:val="00356AA0"/>
    <w:rsid w:val="00361CEB"/>
    <w:rsid w:val="00364E51"/>
    <w:rsid w:val="0036534F"/>
    <w:rsid w:val="00366352"/>
    <w:rsid w:val="00367C76"/>
    <w:rsid w:val="0037298C"/>
    <w:rsid w:val="003823F4"/>
    <w:rsid w:val="0038316A"/>
    <w:rsid w:val="00391F34"/>
    <w:rsid w:val="003943A8"/>
    <w:rsid w:val="003951E9"/>
    <w:rsid w:val="003A2A9A"/>
    <w:rsid w:val="003B6326"/>
    <w:rsid w:val="003C0D34"/>
    <w:rsid w:val="003C3A83"/>
    <w:rsid w:val="003C68B6"/>
    <w:rsid w:val="003D504F"/>
    <w:rsid w:val="003E1FA1"/>
    <w:rsid w:val="003E4F25"/>
    <w:rsid w:val="003E5200"/>
    <w:rsid w:val="003E5972"/>
    <w:rsid w:val="00404829"/>
    <w:rsid w:val="00411C52"/>
    <w:rsid w:val="00426862"/>
    <w:rsid w:val="00426D7F"/>
    <w:rsid w:val="004272DA"/>
    <w:rsid w:val="004320B2"/>
    <w:rsid w:val="0043777E"/>
    <w:rsid w:val="00441555"/>
    <w:rsid w:val="00441885"/>
    <w:rsid w:val="004466EF"/>
    <w:rsid w:val="004519BF"/>
    <w:rsid w:val="00453278"/>
    <w:rsid w:val="0045508D"/>
    <w:rsid w:val="00460430"/>
    <w:rsid w:val="00460CB0"/>
    <w:rsid w:val="00462C8B"/>
    <w:rsid w:val="00464244"/>
    <w:rsid w:val="00464D92"/>
    <w:rsid w:val="00465662"/>
    <w:rsid w:val="00466B8D"/>
    <w:rsid w:val="00467696"/>
    <w:rsid w:val="00471A44"/>
    <w:rsid w:val="004728CA"/>
    <w:rsid w:val="004742A6"/>
    <w:rsid w:val="004758C8"/>
    <w:rsid w:val="00477CA8"/>
    <w:rsid w:val="00484128"/>
    <w:rsid w:val="004863F7"/>
    <w:rsid w:val="00486B21"/>
    <w:rsid w:val="004940D0"/>
    <w:rsid w:val="00495F72"/>
    <w:rsid w:val="00496092"/>
    <w:rsid w:val="004A1D3B"/>
    <w:rsid w:val="004A54FC"/>
    <w:rsid w:val="004C1BC9"/>
    <w:rsid w:val="004C30FD"/>
    <w:rsid w:val="004C4465"/>
    <w:rsid w:val="004C51E5"/>
    <w:rsid w:val="004C7874"/>
    <w:rsid w:val="004E2BAE"/>
    <w:rsid w:val="004E7C10"/>
    <w:rsid w:val="004F4091"/>
    <w:rsid w:val="004F4EC5"/>
    <w:rsid w:val="004F7F47"/>
    <w:rsid w:val="00501CC0"/>
    <w:rsid w:val="00501E70"/>
    <w:rsid w:val="00503C89"/>
    <w:rsid w:val="00503F7D"/>
    <w:rsid w:val="00510E1D"/>
    <w:rsid w:val="00511D61"/>
    <w:rsid w:val="005146FA"/>
    <w:rsid w:val="00520444"/>
    <w:rsid w:val="00522C95"/>
    <w:rsid w:val="0052379B"/>
    <w:rsid w:val="00537D50"/>
    <w:rsid w:val="00543BB8"/>
    <w:rsid w:val="0054585E"/>
    <w:rsid w:val="00553D72"/>
    <w:rsid w:val="0056385D"/>
    <w:rsid w:val="005666E6"/>
    <w:rsid w:val="005734E0"/>
    <w:rsid w:val="005753A6"/>
    <w:rsid w:val="005760F3"/>
    <w:rsid w:val="005802DF"/>
    <w:rsid w:val="0059123A"/>
    <w:rsid w:val="005959C7"/>
    <w:rsid w:val="005A0B72"/>
    <w:rsid w:val="005A2EDE"/>
    <w:rsid w:val="005A4963"/>
    <w:rsid w:val="005A7AB6"/>
    <w:rsid w:val="005B1F3D"/>
    <w:rsid w:val="005B3598"/>
    <w:rsid w:val="005B36AC"/>
    <w:rsid w:val="005B4960"/>
    <w:rsid w:val="005B6C1D"/>
    <w:rsid w:val="005C1057"/>
    <w:rsid w:val="005C4A8A"/>
    <w:rsid w:val="005C5188"/>
    <w:rsid w:val="005D0C95"/>
    <w:rsid w:val="005E0369"/>
    <w:rsid w:val="005E3A33"/>
    <w:rsid w:val="005E3F49"/>
    <w:rsid w:val="005E68B9"/>
    <w:rsid w:val="005F15AE"/>
    <w:rsid w:val="0060037B"/>
    <w:rsid w:val="0060088A"/>
    <w:rsid w:val="00602A5D"/>
    <w:rsid w:val="00605294"/>
    <w:rsid w:val="006053FD"/>
    <w:rsid w:val="00613064"/>
    <w:rsid w:val="006148CE"/>
    <w:rsid w:val="00615E4C"/>
    <w:rsid w:val="00617B51"/>
    <w:rsid w:val="00617FD4"/>
    <w:rsid w:val="0062017D"/>
    <w:rsid w:val="006248DC"/>
    <w:rsid w:val="00625C35"/>
    <w:rsid w:val="00626688"/>
    <w:rsid w:val="00627562"/>
    <w:rsid w:val="006311B7"/>
    <w:rsid w:val="00631762"/>
    <w:rsid w:val="00633A8F"/>
    <w:rsid w:val="0063590E"/>
    <w:rsid w:val="00635CAC"/>
    <w:rsid w:val="00642E6C"/>
    <w:rsid w:val="00650644"/>
    <w:rsid w:val="00655F15"/>
    <w:rsid w:val="00660CEC"/>
    <w:rsid w:val="006644B7"/>
    <w:rsid w:val="006728B2"/>
    <w:rsid w:val="006804CD"/>
    <w:rsid w:val="00683CEF"/>
    <w:rsid w:val="006848E3"/>
    <w:rsid w:val="006868BE"/>
    <w:rsid w:val="0068735F"/>
    <w:rsid w:val="00690863"/>
    <w:rsid w:val="00693360"/>
    <w:rsid w:val="00696300"/>
    <w:rsid w:val="00696CAB"/>
    <w:rsid w:val="00697456"/>
    <w:rsid w:val="006A0BD4"/>
    <w:rsid w:val="006A439D"/>
    <w:rsid w:val="006A553F"/>
    <w:rsid w:val="006A7992"/>
    <w:rsid w:val="006B0DA0"/>
    <w:rsid w:val="006B7C49"/>
    <w:rsid w:val="006D0C41"/>
    <w:rsid w:val="006D2828"/>
    <w:rsid w:val="006D4801"/>
    <w:rsid w:val="006E01AF"/>
    <w:rsid w:val="006E35E4"/>
    <w:rsid w:val="006E58BD"/>
    <w:rsid w:val="006F05FB"/>
    <w:rsid w:val="006F5C84"/>
    <w:rsid w:val="006F7ADF"/>
    <w:rsid w:val="007120C5"/>
    <w:rsid w:val="007126A4"/>
    <w:rsid w:val="00712DFE"/>
    <w:rsid w:val="00715099"/>
    <w:rsid w:val="00716747"/>
    <w:rsid w:val="00716EE8"/>
    <w:rsid w:val="0072051C"/>
    <w:rsid w:val="00720CC7"/>
    <w:rsid w:val="00727F76"/>
    <w:rsid w:val="00730CCE"/>
    <w:rsid w:val="00730EFC"/>
    <w:rsid w:val="007346F2"/>
    <w:rsid w:val="00741479"/>
    <w:rsid w:val="007448C2"/>
    <w:rsid w:val="00753423"/>
    <w:rsid w:val="007547E5"/>
    <w:rsid w:val="00754A30"/>
    <w:rsid w:val="00755DFF"/>
    <w:rsid w:val="00766F59"/>
    <w:rsid w:val="00766FC5"/>
    <w:rsid w:val="00770636"/>
    <w:rsid w:val="00773641"/>
    <w:rsid w:val="00775859"/>
    <w:rsid w:val="007803FC"/>
    <w:rsid w:val="00780D69"/>
    <w:rsid w:val="00780FFB"/>
    <w:rsid w:val="00783382"/>
    <w:rsid w:val="00787DEC"/>
    <w:rsid w:val="00787F91"/>
    <w:rsid w:val="00792E1B"/>
    <w:rsid w:val="007958F4"/>
    <w:rsid w:val="00795D0B"/>
    <w:rsid w:val="007965E2"/>
    <w:rsid w:val="007A1649"/>
    <w:rsid w:val="007A2832"/>
    <w:rsid w:val="007B3E47"/>
    <w:rsid w:val="007C0C06"/>
    <w:rsid w:val="007C5BC8"/>
    <w:rsid w:val="007E25BB"/>
    <w:rsid w:val="007E27A8"/>
    <w:rsid w:val="007E4EF9"/>
    <w:rsid w:val="007E5601"/>
    <w:rsid w:val="007E67F6"/>
    <w:rsid w:val="007E73FE"/>
    <w:rsid w:val="007F4F6D"/>
    <w:rsid w:val="00801CFB"/>
    <w:rsid w:val="00804F24"/>
    <w:rsid w:val="0080615E"/>
    <w:rsid w:val="0080684E"/>
    <w:rsid w:val="0080708E"/>
    <w:rsid w:val="00810C37"/>
    <w:rsid w:val="00820D56"/>
    <w:rsid w:val="00822DB2"/>
    <w:rsid w:val="00827030"/>
    <w:rsid w:val="008270CB"/>
    <w:rsid w:val="008355CF"/>
    <w:rsid w:val="008405F2"/>
    <w:rsid w:val="0084111F"/>
    <w:rsid w:val="008422CB"/>
    <w:rsid w:val="00842EEF"/>
    <w:rsid w:val="0084507D"/>
    <w:rsid w:val="00846714"/>
    <w:rsid w:val="00854F88"/>
    <w:rsid w:val="008554EF"/>
    <w:rsid w:val="008577C3"/>
    <w:rsid w:val="0086078F"/>
    <w:rsid w:val="00860894"/>
    <w:rsid w:val="008664F5"/>
    <w:rsid w:val="008666CC"/>
    <w:rsid w:val="0086797A"/>
    <w:rsid w:val="00877EA7"/>
    <w:rsid w:val="0088002C"/>
    <w:rsid w:val="008849FA"/>
    <w:rsid w:val="00890AE7"/>
    <w:rsid w:val="00896502"/>
    <w:rsid w:val="008A06A0"/>
    <w:rsid w:val="008A12A6"/>
    <w:rsid w:val="008A16F2"/>
    <w:rsid w:val="008A4F77"/>
    <w:rsid w:val="008B4DD6"/>
    <w:rsid w:val="008C5FE4"/>
    <w:rsid w:val="008C750D"/>
    <w:rsid w:val="008D7CC1"/>
    <w:rsid w:val="008E0C75"/>
    <w:rsid w:val="008E305A"/>
    <w:rsid w:val="008E5B31"/>
    <w:rsid w:val="008F22B7"/>
    <w:rsid w:val="008F4797"/>
    <w:rsid w:val="008F721A"/>
    <w:rsid w:val="009001EA"/>
    <w:rsid w:val="00912CD5"/>
    <w:rsid w:val="00913492"/>
    <w:rsid w:val="00916C44"/>
    <w:rsid w:val="00917D97"/>
    <w:rsid w:val="009239A1"/>
    <w:rsid w:val="00926301"/>
    <w:rsid w:val="00932684"/>
    <w:rsid w:val="00932FC2"/>
    <w:rsid w:val="00937879"/>
    <w:rsid w:val="00942F4A"/>
    <w:rsid w:val="00946305"/>
    <w:rsid w:val="009507F5"/>
    <w:rsid w:val="009509FB"/>
    <w:rsid w:val="00950AA7"/>
    <w:rsid w:val="009516A8"/>
    <w:rsid w:val="009528A1"/>
    <w:rsid w:val="009654F4"/>
    <w:rsid w:val="009739DC"/>
    <w:rsid w:val="00973DA3"/>
    <w:rsid w:val="00973FB5"/>
    <w:rsid w:val="009745E0"/>
    <w:rsid w:val="00975844"/>
    <w:rsid w:val="009774E6"/>
    <w:rsid w:val="00981069"/>
    <w:rsid w:val="0098337E"/>
    <w:rsid w:val="009855A4"/>
    <w:rsid w:val="0099096D"/>
    <w:rsid w:val="009948E6"/>
    <w:rsid w:val="00995052"/>
    <w:rsid w:val="009A2A8B"/>
    <w:rsid w:val="009B37D9"/>
    <w:rsid w:val="009B611D"/>
    <w:rsid w:val="009C39A9"/>
    <w:rsid w:val="009C5AA2"/>
    <w:rsid w:val="009D1B6C"/>
    <w:rsid w:val="009D45C7"/>
    <w:rsid w:val="009E05C0"/>
    <w:rsid w:val="009E639E"/>
    <w:rsid w:val="009F003F"/>
    <w:rsid w:val="009F03A9"/>
    <w:rsid w:val="009F42E0"/>
    <w:rsid w:val="009F79C8"/>
    <w:rsid w:val="00A01C10"/>
    <w:rsid w:val="00A135B8"/>
    <w:rsid w:val="00A16FA0"/>
    <w:rsid w:val="00A22400"/>
    <w:rsid w:val="00A22B1D"/>
    <w:rsid w:val="00A23F02"/>
    <w:rsid w:val="00A2516C"/>
    <w:rsid w:val="00A3709A"/>
    <w:rsid w:val="00A41044"/>
    <w:rsid w:val="00A43968"/>
    <w:rsid w:val="00A44F16"/>
    <w:rsid w:val="00A45697"/>
    <w:rsid w:val="00A53A63"/>
    <w:rsid w:val="00A5526C"/>
    <w:rsid w:val="00A556F9"/>
    <w:rsid w:val="00A56EF5"/>
    <w:rsid w:val="00A64894"/>
    <w:rsid w:val="00A82AA8"/>
    <w:rsid w:val="00A830D9"/>
    <w:rsid w:val="00A836DF"/>
    <w:rsid w:val="00A86871"/>
    <w:rsid w:val="00A909E0"/>
    <w:rsid w:val="00A97BF3"/>
    <w:rsid w:val="00AA7129"/>
    <w:rsid w:val="00AB0B55"/>
    <w:rsid w:val="00AB2DE2"/>
    <w:rsid w:val="00AB5B06"/>
    <w:rsid w:val="00AC0097"/>
    <w:rsid w:val="00AC1368"/>
    <w:rsid w:val="00AC14CB"/>
    <w:rsid w:val="00AC4538"/>
    <w:rsid w:val="00AC46BF"/>
    <w:rsid w:val="00AC4C7C"/>
    <w:rsid w:val="00AC5757"/>
    <w:rsid w:val="00AD07CD"/>
    <w:rsid w:val="00AD1D4E"/>
    <w:rsid w:val="00AE10DB"/>
    <w:rsid w:val="00AE1B42"/>
    <w:rsid w:val="00AE274E"/>
    <w:rsid w:val="00AE492F"/>
    <w:rsid w:val="00AE5F68"/>
    <w:rsid w:val="00AF232F"/>
    <w:rsid w:val="00AF746D"/>
    <w:rsid w:val="00B00E22"/>
    <w:rsid w:val="00B04F39"/>
    <w:rsid w:val="00B1355B"/>
    <w:rsid w:val="00B176BD"/>
    <w:rsid w:val="00B203C5"/>
    <w:rsid w:val="00B227E6"/>
    <w:rsid w:val="00B30776"/>
    <w:rsid w:val="00B31AC9"/>
    <w:rsid w:val="00B37011"/>
    <w:rsid w:val="00B403FB"/>
    <w:rsid w:val="00B43AD6"/>
    <w:rsid w:val="00B446AE"/>
    <w:rsid w:val="00B45C51"/>
    <w:rsid w:val="00B47DEB"/>
    <w:rsid w:val="00B5182F"/>
    <w:rsid w:val="00B5185B"/>
    <w:rsid w:val="00B51898"/>
    <w:rsid w:val="00B529D8"/>
    <w:rsid w:val="00B53D9A"/>
    <w:rsid w:val="00B54E8E"/>
    <w:rsid w:val="00B55BC9"/>
    <w:rsid w:val="00B61CD1"/>
    <w:rsid w:val="00B6385F"/>
    <w:rsid w:val="00B6560C"/>
    <w:rsid w:val="00B65E27"/>
    <w:rsid w:val="00B65F2D"/>
    <w:rsid w:val="00B71B1A"/>
    <w:rsid w:val="00B727CD"/>
    <w:rsid w:val="00B75F27"/>
    <w:rsid w:val="00B83E12"/>
    <w:rsid w:val="00B8526B"/>
    <w:rsid w:val="00B85A0D"/>
    <w:rsid w:val="00B91093"/>
    <w:rsid w:val="00B96E6E"/>
    <w:rsid w:val="00BA1848"/>
    <w:rsid w:val="00BA52DE"/>
    <w:rsid w:val="00BA567C"/>
    <w:rsid w:val="00BA795C"/>
    <w:rsid w:val="00BB09B0"/>
    <w:rsid w:val="00BB2041"/>
    <w:rsid w:val="00BB2CB3"/>
    <w:rsid w:val="00BB36B4"/>
    <w:rsid w:val="00BB5A84"/>
    <w:rsid w:val="00BB7552"/>
    <w:rsid w:val="00BC0C2C"/>
    <w:rsid w:val="00BC2ABB"/>
    <w:rsid w:val="00BC4AAC"/>
    <w:rsid w:val="00BD078B"/>
    <w:rsid w:val="00BD1C0C"/>
    <w:rsid w:val="00BD39F4"/>
    <w:rsid w:val="00BD5C5E"/>
    <w:rsid w:val="00BD699E"/>
    <w:rsid w:val="00BD7091"/>
    <w:rsid w:val="00BD7CB2"/>
    <w:rsid w:val="00BE3D88"/>
    <w:rsid w:val="00BE462F"/>
    <w:rsid w:val="00BF2C4F"/>
    <w:rsid w:val="00BF3C71"/>
    <w:rsid w:val="00BF40EF"/>
    <w:rsid w:val="00BF4997"/>
    <w:rsid w:val="00BF4A31"/>
    <w:rsid w:val="00BF7A53"/>
    <w:rsid w:val="00C00382"/>
    <w:rsid w:val="00C00A5A"/>
    <w:rsid w:val="00C014E9"/>
    <w:rsid w:val="00C01863"/>
    <w:rsid w:val="00C03D82"/>
    <w:rsid w:val="00C07793"/>
    <w:rsid w:val="00C15531"/>
    <w:rsid w:val="00C15FF7"/>
    <w:rsid w:val="00C21249"/>
    <w:rsid w:val="00C24FF8"/>
    <w:rsid w:val="00C3019C"/>
    <w:rsid w:val="00C30D05"/>
    <w:rsid w:val="00C34945"/>
    <w:rsid w:val="00C35610"/>
    <w:rsid w:val="00C35BC5"/>
    <w:rsid w:val="00C37A70"/>
    <w:rsid w:val="00C408C2"/>
    <w:rsid w:val="00C41553"/>
    <w:rsid w:val="00C434FD"/>
    <w:rsid w:val="00C45754"/>
    <w:rsid w:val="00C51441"/>
    <w:rsid w:val="00C5149F"/>
    <w:rsid w:val="00C5162F"/>
    <w:rsid w:val="00C539B1"/>
    <w:rsid w:val="00C605C0"/>
    <w:rsid w:val="00C60661"/>
    <w:rsid w:val="00C612E9"/>
    <w:rsid w:val="00C61A96"/>
    <w:rsid w:val="00C63A39"/>
    <w:rsid w:val="00C644B6"/>
    <w:rsid w:val="00C72C45"/>
    <w:rsid w:val="00C8069E"/>
    <w:rsid w:val="00C8281F"/>
    <w:rsid w:val="00C86F83"/>
    <w:rsid w:val="00C8796C"/>
    <w:rsid w:val="00C96BF8"/>
    <w:rsid w:val="00C976AC"/>
    <w:rsid w:val="00CA128A"/>
    <w:rsid w:val="00CA659A"/>
    <w:rsid w:val="00CB0E9B"/>
    <w:rsid w:val="00CB4C3A"/>
    <w:rsid w:val="00CC23CD"/>
    <w:rsid w:val="00CC718F"/>
    <w:rsid w:val="00CE2402"/>
    <w:rsid w:val="00CE3FE4"/>
    <w:rsid w:val="00CF0D5B"/>
    <w:rsid w:val="00CF370B"/>
    <w:rsid w:val="00CF52AD"/>
    <w:rsid w:val="00CF5923"/>
    <w:rsid w:val="00CF5EFA"/>
    <w:rsid w:val="00CF6907"/>
    <w:rsid w:val="00D030D5"/>
    <w:rsid w:val="00D0347A"/>
    <w:rsid w:val="00D03B80"/>
    <w:rsid w:val="00D07D8F"/>
    <w:rsid w:val="00D133DC"/>
    <w:rsid w:val="00D21B59"/>
    <w:rsid w:val="00D245B4"/>
    <w:rsid w:val="00D265B1"/>
    <w:rsid w:val="00D3020E"/>
    <w:rsid w:val="00D3226C"/>
    <w:rsid w:val="00D43E77"/>
    <w:rsid w:val="00D47522"/>
    <w:rsid w:val="00D55611"/>
    <w:rsid w:val="00D55AA1"/>
    <w:rsid w:val="00D63990"/>
    <w:rsid w:val="00D66529"/>
    <w:rsid w:val="00D7321D"/>
    <w:rsid w:val="00D7394F"/>
    <w:rsid w:val="00D90789"/>
    <w:rsid w:val="00D9307E"/>
    <w:rsid w:val="00D9569B"/>
    <w:rsid w:val="00DA0F96"/>
    <w:rsid w:val="00DA1975"/>
    <w:rsid w:val="00DA1C77"/>
    <w:rsid w:val="00DA4CD0"/>
    <w:rsid w:val="00DB6948"/>
    <w:rsid w:val="00DC354A"/>
    <w:rsid w:val="00DC6BB4"/>
    <w:rsid w:val="00DC78C0"/>
    <w:rsid w:val="00DD12B2"/>
    <w:rsid w:val="00DD3890"/>
    <w:rsid w:val="00DE02C6"/>
    <w:rsid w:val="00DF3BD0"/>
    <w:rsid w:val="00E02394"/>
    <w:rsid w:val="00E03C6E"/>
    <w:rsid w:val="00E4038A"/>
    <w:rsid w:val="00E44828"/>
    <w:rsid w:val="00E46B7D"/>
    <w:rsid w:val="00E53A17"/>
    <w:rsid w:val="00E53B30"/>
    <w:rsid w:val="00E6083B"/>
    <w:rsid w:val="00E614E2"/>
    <w:rsid w:val="00E6275F"/>
    <w:rsid w:val="00E63327"/>
    <w:rsid w:val="00E66F7F"/>
    <w:rsid w:val="00E73AE1"/>
    <w:rsid w:val="00E74022"/>
    <w:rsid w:val="00E761BA"/>
    <w:rsid w:val="00E7695B"/>
    <w:rsid w:val="00EA14DF"/>
    <w:rsid w:val="00EA3CAC"/>
    <w:rsid w:val="00EB0C03"/>
    <w:rsid w:val="00EB15CC"/>
    <w:rsid w:val="00EB6799"/>
    <w:rsid w:val="00EC2BF5"/>
    <w:rsid w:val="00EC4F5A"/>
    <w:rsid w:val="00EC669E"/>
    <w:rsid w:val="00ED15E2"/>
    <w:rsid w:val="00ED1DE7"/>
    <w:rsid w:val="00ED5DB9"/>
    <w:rsid w:val="00ED6204"/>
    <w:rsid w:val="00EE3455"/>
    <w:rsid w:val="00EE4767"/>
    <w:rsid w:val="00EE5B5A"/>
    <w:rsid w:val="00EF56E8"/>
    <w:rsid w:val="00EF59E3"/>
    <w:rsid w:val="00EF6834"/>
    <w:rsid w:val="00EF683F"/>
    <w:rsid w:val="00F013BF"/>
    <w:rsid w:val="00F02668"/>
    <w:rsid w:val="00F0379B"/>
    <w:rsid w:val="00F042E4"/>
    <w:rsid w:val="00F05D6F"/>
    <w:rsid w:val="00F129CC"/>
    <w:rsid w:val="00F22FA6"/>
    <w:rsid w:val="00F23248"/>
    <w:rsid w:val="00F24C51"/>
    <w:rsid w:val="00F26D08"/>
    <w:rsid w:val="00F27544"/>
    <w:rsid w:val="00F306C0"/>
    <w:rsid w:val="00F33505"/>
    <w:rsid w:val="00F37507"/>
    <w:rsid w:val="00F40C6D"/>
    <w:rsid w:val="00F42FC3"/>
    <w:rsid w:val="00F43F7B"/>
    <w:rsid w:val="00F46263"/>
    <w:rsid w:val="00F50975"/>
    <w:rsid w:val="00F53A13"/>
    <w:rsid w:val="00F55AFF"/>
    <w:rsid w:val="00F575DC"/>
    <w:rsid w:val="00F635FA"/>
    <w:rsid w:val="00F64F7D"/>
    <w:rsid w:val="00F6664E"/>
    <w:rsid w:val="00F71875"/>
    <w:rsid w:val="00F71D3E"/>
    <w:rsid w:val="00F74E57"/>
    <w:rsid w:val="00F7541E"/>
    <w:rsid w:val="00F80CA2"/>
    <w:rsid w:val="00F83E6B"/>
    <w:rsid w:val="00F87B7B"/>
    <w:rsid w:val="00F91638"/>
    <w:rsid w:val="00F92AC9"/>
    <w:rsid w:val="00F93C5D"/>
    <w:rsid w:val="00FA3245"/>
    <w:rsid w:val="00FA650D"/>
    <w:rsid w:val="00FA68D7"/>
    <w:rsid w:val="00FB0210"/>
    <w:rsid w:val="00FB11A1"/>
    <w:rsid w:val="00FB24AA"/>
    <w:rsid w:val="00FB5916"/>
    <w:rsid w:val="00FB75B7"/>
    <w:rsid w:val="00FC7641"/>
    <w:rsid w:val="00FD2022"/>
    <w:rsid w:val="00FD28D2"/>
    <w:rsid w:val="00FD2EF6"/>
    <w:rsid w:val="00FD3292"/>
    <w:rsid w:val="00FD5ED5"/>
    <w:rsid w:val="00FD5F57"/>
    <w:rsid w:val="00FE04B9"/>
    <w:rsid w:val="00FE0ABD"/>
    <w:rsid w:val="00FE0BE0"/>
    <w:rsid w:val="00FF0B2D"/>
    <w:rsid w:val="00FF3191"/>
    <w:rsid w:val="00FF7172"/>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C4AC60A-DA53-4E66-BD89-39F6EA55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A70"/>
  </w:style>
  <w:style w:type="paragraph" w:styleId="1">
    <w:name w:val="heading 1"/>
    <w:basedOn w:val="a"/>
    <w:next w:val="a"/>
    <w:link w:val="10"/>
    <w:uiPriority w:val="9"/>
    <w:qFormat/>
    <w:rsid w:val="00977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11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71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1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E3D88"/>
    <w:pPr>
      <w:ind w:left="720"/>
      <w:contextualSpacing/>
    </w:pPr>
  </w:style>
  <w:style w:type="paragraph" w:styleId="a6">
    <w:name w:val="Normal (Web)"/>
    <w:basedOn w:val="a"/>
    <w:uiPriority w:val="99"/>
    <w:unhideWhenUsed/>
    <w:rsid w:val="008422C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Placeholder Text"/>
    <w:basedOn w:val="a0"/>
    <w:uiPriority w:val="99"/>
    <w:semiHidden/>
    <w:rsid w:val="007958F4"/>
    <w:rPr>
      <w:color w:val="808080"/>
    </w:rPr>
  </w:style>
  <w:style w:type="paragraph" w:styleId="a8">
    <w:name w:val="header"/>
    <w:basedOn w:val="a"/>
    <w:link w:val="a9"/>
    <w:uiPriority w:val="99"/>
    <w:unhideWhenUsed/>
    <w:rsid w:val="004415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1555"/>
  </w:style>
  <w:style w:type="paragraph" w:styleId="aa">
    <w:name w:val="footer"/>
    <w:basedOn w:val="a"/>
    <w:link w:val="ab"/>
    <w:uiPriority w:val="99"/>
    <w:unhideWhenUsed/>
    <w:rsid w:val="004415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1555"/>
  </w:style>
  <w:style w:type="table" w:customStyle="1" w:styleId="21">
    <w:name w:val="Сетка таблицы2"/>
    <w:basedOn w:val="a1"/>
    <w:next w:val="a3"/>
    <w:uiPriority w:val="39"/>
    <w:rsid w:val="00F57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B85A0D"/>
    <w:pPr>
      <w:spacing w:after="0" w:line="240" w:lineRule="auto"/>
    </w:pPr>
    <w:rPr>
      <w:rFonts w:eastAsiaTheme="minorEastAsia"/>
      <w:lang w:eastAsia="ru-RU"/>
    </w:rPr>
  </w:style>
  <w:style w:type="character" w:customStyle="1" w:styleId="ad">
    <w:name w:val="Без интервала Знак"/>
    <w:basedOn w:val="a0"/>
    <w:link w:val="ac"/>
    <w:uiPriority w:val="1"/>
    <w:rsid w:val="00B85A0D"/>
    <w:rPr>
      <w:rFonts w:eastAsiaTheme="minorEastAsia"/>
      <w:lang w:eastAsia="ru-RU"/>
    </w:rPr>
  </w:style>
  <w:style w:type="table" w:customStyle="1" w:styleId="5">
    <w:name w:val="Сетка таблицы5"/>
    <w:basedOn w:val="a1"/>
    <w:next w:val="a3"/>
    <w:uiPriority w:val="59"/>
    <w:rsid w:val="0011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11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11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E5B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5B5A"/>
    <w:rPr>
      <w:rFonts w:ascii="Tahoma" w:hAnsi="Tahoma" w:cs="Tahoma"/>
      <w:sz w:val="16"/>
      <w:szCs w:val="16"/>
    </w:rPr>
  </w:style>
  <w:style w:type="character" w:customStyle="1" w:styleId="10">
    <w:name w:val="Заголовок 1 Знак"/>
    <w:basedOn w:val="a0"/>
    <w:link w:val="1"/>
    <w:uiPriority w:val="9"/>
    <w:rsid w:val="009774E6"/>
    <w:rPr>
      <w:rFonts w:asciiTheme="majorHAnsi" w:eastAsiaTheme="majorEastAsia" w:hAnsiTheme="majorHAnsi" w:cstheme="majorBidi"/>
      <w:color w:val="2E74B5" w:themeColor="accent1" w:themeShade="BF"/>
      <w:sz w:val="32"/>
      <w:szCs w:val="32"/>
    </w:rPr>
  </w:style>
  <w:style w:type="character" w:styleId="af0">
    <w:name w:val="Hyperlink"/>
    <w:basedOn w:val="a0"/>
    <w:uiPriority w:val="99"/>
    <w:unhideWhenUsed/>
    <w:rsid w:val="00FD5F57"/>
    <w:rPr>
      <w:color w:val="0000FF"/>
      <w:u w:val="single"/>
    </w:rPr>
  </w:style>
  <w:style w:type="paragraph" w:customStyle="1" w:styleId="Default">
    <w:name w:val="Default"/>
    <w:rsid w:val="00355E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t2">
    <w:name w:val="dt2"/>
    <w:basedOn w:val="a"/>
    <w:uiPriority w:val="99"/>
    <w:rsid w:val="00361CEB"/>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20">
    <w:name w:val="Заголовок 2 Знак"/>
    <w:basedOn w:val="a0"/>
    <w:link w:val="2"/>
    <w:uiPriority w:val="9"/>
    <w:rsid w:val="00111DC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111DCE"/>
  </w:style>
  <w:style w:type="character" w:customStyle="1" w:styleId="tlid-translation">
    <w:name w:val="tlid-translation"/>
    <w:basedOn w:val="a0"/>
    <w:rsid w:val="00111DCE"/>
  </w:style>
  <w:style w:type="paragraph" w:styleId="af1">
    <w:name w:val="Body Text"/>
    <w:basedOn w:val="a"/>
    <w:link w:val="af2"/>
    <w:rsid w:val="00111DCE"/>
    <w:pPr>
      <w:spacing w:after="0" w:line="240" w:lineRule="auto"/>
    </w:pPr>
    <w:rPr>
      <w:rFonts w:ascii="MS Serif" w:eastAsia="Times New Roman" w:hAnsi="MS Serif" w:cs="Times New Roman"/>
      <w:sz w:val="24"/>
      <w:szCs w:val="20"/>
      <w:lang w:eastAsia="ru-RU"/>
    </w:rPr>
  </w:style>
  <w:style w:type="character" w:customStyle="1" w:styleId="af2">
    <w:name w:val="Основной текст Знак"/>
    <w:basedOn w:val="a0"/>
    <w:link w:val="af1"/>
    <w:rsid w:val="00111DCE"/>
    <w:rPr>
      <w:rFonts w:ascii="MS Serif" w:eastAsia="Times New Roman" w:hAnsi="MS Serif" w:cs="Times New Roman"/>
      <w:sz w:val="24"/>
      <w:szCs w:val="20"/>
      <w:lang w:eastAsia="ru-RU"/>
    </w:rPr>
  </w:style>
  <w:style w:type="paragraph" w:customStyle="1" w:styleId="p1">
    <w:name w:val="p1"/>
    <w:basedOn w:val="a"/>
    <w:rsid w:val="00111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1DCE"/>
  </w:style>
  <w:style w:type="character" w:customStyle="1" w:styleId="s4">
    <w:name w:val="s4"/>
    <w:basedOn w:val="a0"/>
    <w:rsid w:val="00111DCE"/>
  </w:style>
  <w:style w:type="character" w:customStyle="1" w:styleId="a5">
    <w:name w:val="Абзац списка Знак"/>
    <w:link w:val="a4"/>
    <w:uiPriority w:val="34"/>
    <w:rsid w:val="00111DCE"/>
  </w:style>
  <w:style w:type="paragraph" w:customStyle="1" w:styleId="Paragraph">
    <w:name w:val="Paragraph"/>
    <w:rsid w:val="00111DCE"/>
    <w:pPr>
      <w:spacing w:after="240" w:line="240" w:lineRule="auto"/>
    </w:pPr>
    <w:rPr>
      <w:rFonts w:ascii="Times New Roman" w:eastAsia="Arial" w:hAnsi="Times New Roman" w:cs="Times New Roman"/>
      <w:sz w:val="24"/>
      <w:szCs w:val="24"/>
      <w:lang w:val="en-US"/>
    </w:rPr>
  </w:style>
  <w:style w:type="paragraph" w:styleId="af3">
    <w:name w:val="Body Text Indent"/>
    <w:basedOn w:val="a"/>
    <w:link w:val="af4"/>
    <w:uiPriority w:val="99"/>
    <w:unhideWhenUsed/>
    <w:rsid w:val="00111D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111DCE"/>
    <w:rPr>
      <w:rFonts w:ascii="Times New Roman" w:eastAsia="Times New Roman" w:hAnsi="Times New Roman" w:cs="Times New Roman"/>
      <w:sz w:val="24"/>
      <w:szCs w:val="24"/>
      <w:lang w:eastAsia="ru-RU"/>
    </w:rPr>
  </w:style>
  <w:style w:type="character" w:customStyle="1" w:styleId="s1">
    <w:name w:val="s1"/>
    <w:basedOn w:val="a0"/>
    <w:rsid w:val="003E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792">
      <w:bodyDiv w:val="1"/>
      <w:marLeft w:val="0"/>
      <w:marRight w:val="0"/>
      <w:marTop w:val="0"/>
      <w:marBottom w:val="0"/>
      <w:divBdr>
        <w:top w:val="none" w:sz="0" w:space="0" w:color="auto"/>
        <w:left w:val="none" w:sz="0" w:space="0" w:color="auto"/>
        <w:bottom w:val="none" w:sz="0" w:space="0" w:color="auto"/>
        <w:right w:val="none" w:sz="0" w:space="0" w:color="auto"/>
      </w:divBdr>
    </w:div>
    <w:div w:id="304168589">
      <w:bodyDiv w:val="1"/>
      <w:marLeft w:val="0"/>
      <w:marRight w:val="0"/>
      <w:marTop w:val="0"/>
      <w:marBottom w:val="0"/>
      <w:divBdr>
        <w:top w:val="none" w:sz="0" w:space="0" w:color="auto"/>
        <w:left w:val="none" w:sz="0" w:space="0" w:color="auto"/>
        <w:bottom w:val="none" w:sz="0" w:space="0" w:color="auto"/>
        <w:right w:val="none" w:sz="0" w:space="0" w:color="auto"/>
      </w:divBdr>
    </w:div>
    <w:div w:id="817116585">
      <w:bodyDiv w:val="1"/>
      <w:marLeft w:val="0"/>
      <w:marRight w:val="0"/>
      <w:marTop w:val="0"/>
      <w:marBottom w:val="0"/>
      <w:divBdr>
        <w:top w:val="none" w:sz="0" w:space="0" w:color="auto"/>
        <w:left w:val="none" w:sz="0" w:space="0" w:color="auto"/>
        <w:bottom w:val="none" w:sz="0" w:space="0" w:color="auto"/>
        <w:right w:val="none" w:sz="0" w:space="0" w:color="auto"/>
      </w:divBdr>
    </w:div>
    <w:div w:id="1425105278">
      <w:bodyDiv w:val="1"/>
      <w:marLeft w:val="0"/>
      <w:marRight w:val="0"/>
      <w:marTop w:val="0"/>
      <w:marBottom w:val="0"/>
      <w:divBdr>
        <w:top w:val="none" w:sz="0" w:space="0" w:color="auto"/>
        <w:left w:val="none" w:sz="0" w:space="0" w:color="auto"/>
        <w:bottom w:val="none" w:sz="0" w:space="0" w:color="auto"/>
        <w:right w:val="none" w:sz="0" w:space="0" w:color="auto"/>
      </w:divBdr>
    </w:div>
    <w:div w:id="1603683071">
      <w:bodyDiv w:val="1"/>
      <w:marLeft w:val="0"/>
      <w:marRight w:val="0"/>
      <w:marTop w:val="0"/>
      <w:marBottom w:val="0"/>
      <w:divBdr>
        <w:top w:val="none" w:sz="0" w:space="0" w:color="auto"/>
        <w:left w:val="none" w:sz="0" w:space="0" w:color="auto"/>
        <w:bottom w:val="none" w:sz="0" w:space="0" w:color="auto"/>
        <w:right w:val="none" w:sz="0" w:space="0" w:color="auto"/>
      </w:divBdr>
    </w:div>
    <w:div w:id="1667584851">
      <w:bodyDiv w:val="1"/>
      <w:marLeft w:val="0"/>
      <w:marRight w:val="0"/>
      <w:marTop w:val="0"/>
      <w:marBottom w:val="0"/>
      <w:divBdr>
        <w:top w:val="none" w:sz="0" w:space="0" w:color="auto"/>
        <w:left w:val="none" w:sz="0" w:space="0" w:color="auto"/>
        <w:bottom w:val="none" w:sz="0" w:space="0" w:color="auto"/>
        <w:right w:val="none" w:sz="0" w:space="0" w:color="auto"/>
      </w:divBdr>
    </w:div>
    <w:div w:id="18554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Москва - 2019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9D05FE-E682-4EF0-8E00-6BF2CB3D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29942</Words>
  <Characters>170675</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Фармакогностическое изучение и стандартизация сырья Malus Sylvestris Mill. (Яблони лесной)</vt:lpstr>
    </vt:vector>
  </TitlesOfParts>
  <Company>Grizli777</Company>
  <LinksUpToDate>false</LinksUpToDate>
  <CharactersWithSpaces>200217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Фармакогностическое изучение и стандартизация сырья Malus Sylvestris Mill. (Яблони лесной)</dc:title>
  <dc:subject>Специальность: 14.04.02 – фармацевтическая химия, фармакогнозия</dc:subject>
  <dc:creator>Научный руководитель:</dc:creator>
  <cp:lastModifiedBy>Microsoft Office User</cp:lastModifiedBy>
  <cp:revision>2</cp:revision>
  <cp:lastPrinted>2019-03-12T22:31:00Z</cp:lastPrinted>
  <dcterms:created xsi:type="dcterms:W3CDTF">2024-04-09T10:46:00Z</dcterms:created>
  <dcterms:modified xsi:type="dcterms:W3CDTF">2024-04-09T10:46:00Z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http://www.zotero.org/styles/gost-r-7-0-5-2008-numeric</vt:lpwstr>
  </property>
  <property fmtid="{D5CDD505-2E9C-101B-9397-08002B2CF9AE}" pid="19" name="Mendeley Recent Style Name 8_1">
    <vt:lpwstr>Russian GOST R 7.0.5-2008 (numeric)</vt:lpwstr>
  </property>
  <property fmtid="{D5CDD505-2E9C-101B-9397-08002B2CF9AE}" pid="20" name="Mendeley Recent Style Id 9_1">
    <vt:lpwstr>http://www.zotero.org/styles/gost-r-7-0-5-2008-numeric-alphabetical</vt:lpwstr>
  </property>
  <property fmtid="{D5CDD505-2E9C-101B-9397-08002B2CF9AE}" pid="21" name="Mendeley Recent Style Name 9_1">
    <vt:lpwstr>Russian GOST R 7.0.5-2008 (numeric, sorted alphabetically, Ру́сский)</vt:lpwstr>
  </property>
  <property fmtid="{D5CDD505-2E9C-101B-9397-08002B2CF9AE}" pid="22" name="Mendeley Document_1">
    <vt:lpwstr>True</vt:lpwstr>
  </property>
  <property fmtid="{D5CDD505-2E9C-101B-9397-08002B2CF9AE}" pid="23" name="Mendeley Unique User Id_1">
    <vt:lpwstr>e48daea8-fb61-350c-a2d4-7b81c7268991</vt:lpwstr>
  </property>
  <property fmtid="{D5CDD505-2E9C-101B-9397-08002B2CF9AE}" pid="24" name="Mendeley Citation Style_1">
    <vt:lpwstr>http://www.zotero.org/styles/gost-r-7-0-5-2008-numeric</vt:lpwstr>
  </property>
</Properties>
</file>